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3070AE" w14:textId="6D9FD7E9" w:rsidR="001C0E2A" w:rsidRPr="00831E8E" w:rsidRDefault="001C0E2A">
      <w:pPr>
        <w:rPr>
          <w:b/>
          <w:bCs/>
        </w:rPr>
      </w:pPr>
    </w:p>
    <w:p w14:paraId="1466ACEB" w14:textId="282AF24B" w:rsidR="005512DB" w:rsidRPr="00831E8E" w:rsidRDefault="005512DB" w:rsidP="005512DB">
      <w:pPr>
        <w:rPr>
          <w:b/>
          <w:bCs/>
        </w:rPr>
      </w:pPr>
      <w:r w:rsidRPr="00831E8E">
        <w:rPr>
          <w:b/>
          <w:bCs/>
          <w:noProof/>
          <w:lang w:eastAsia="en-GB"/>
        </w:rPr>
        <w:drawing>
          <wp:anchor distT="0" distB="0" distL="114300" distR="114300" simplePos="0" relativeHeight="251658240" behindDoc="0" locked="0" layoutInCell="1" allowOverlap="1" wp14:anchorId="7677B463" wp14:editId="6A0D5083">
            <wp:simplePos x="0" y="0"/>
            <wp:positionH relativeFrom="column">
              <wp:posOffset>0</wp:posOffset>
            </wp:positionH>
            <wp:positionV relativeFrom="paragraph">
              <wp:posOffset>143013</wp:posOffset>
            </wp:positionV>
            <wp:extent cx="1799782" cy="558718"/>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99782" cy="55871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AB3ECC4" w14:textId="7EB5FA50" w:rsidR="005512DB" w:rsidRPr="00831E8E" w:rsidRDefault="005512DB" w:rsidP="005512DB">
      <w:pPr>
        <w:rPr>
          <w:b/>
          <w:bCs/>
        </w:rPr>
      </w:pPr>
    </w:p>
    <w:p w14:paraId="0426B604" w14:textId="1433FBBB" w:rsidR="005512DB" w:rsidRPr="00831E8E" w:rsidRDefault="005512DB" w:rsidP="005512DB">
      <w:pPr>
        <w:rPr>
          <w:b/>
          <w:bCs/>
        </w:rPr>
      </w:pPr>
    </w:p>
    <w:p w14:paraId="3178D8A8" w14:textId="041C6EFD" w:rsidR="005512DB" w:rsidRPr="00831E8E" w:rsidRDefault="005512DB" w:rsidP="005512DB">
      <w:pPr>
        <w:rPr>
          <w:b/>
          <w:bCs/>
        </w:rPr>
      </w:pPr>
    </w:p>
    <w:p w14:paraId="51DA9E1A" w14:textId="22F93CE0" w:rsidR="005512DB" w:rsidRPr="00831E8E" w:rsidRDefault="000A0459" w:rsidP="005512DB">
      <w:pPr>
        <w:rPr>
          <w:rFonts w:ascii="Arial" w:hAnsi="Arial" w:cs="Arial"/>
          <w:b/>
          <w:bCs/>
          <w:color w:val="A6192E"/>
          <w:sz w:val="56"/>
          <w:szCs w:val="56"/>
        </w:rPr>
      </w:pPr>
      <w:r w:rsidRPr="00831E8E">
        <w:rPr>
          <w:rFonts w:ascii="Arial" w:hAnsi="Arial" w:cs="Arial"/>
          <w:bCs/>
          <w:color w:val="A6192E"/>
          <w:sz w:val="56"/>
          <w:szCs w:val="56"/>
        </w:rPr>
        <w:t>Partner Marketing Tool Kit</w:t>
      </w:r>
    </w:p>
    <w:p w14:paraId="4EA13304" w14:textId="66742A24" w:rsidR="000A0459" w:rsidRPr="00831E8E" w:rsidRDefault="000A0459" w:rsidP="005512DB">
      <w:pPr>
        <w:rPr>
          <w:rFonts w:ascii="Arial" w:hAnsi="Arial" w:cs="Arial"/>
          <w:b/>
          <w:bCs/>
          <w:sz w:val="36"/>
          <w:szCs w:val="36"/>
        </w:rPr>
      </w:pPr>
      <w:r w:rsidRPr="00831E8E">
        <w:rPr>
          <w:rFonts w:ascii="Arial" w:hAnsi="Arial" w:cs="Arial"/>
          <w:bCs/>
          <w:sz w:val="36"/>
          <w:szCs w:val="36"/>
        </w:rPr>
        <w:t>Symantec Endpoint Security Complete</w:t>
      </w:r>
    </w:p>
    <w:p w14:paraId="1181A483" w14:textId="3590EB9D" w:rsidR="000A0459" w:rsidRPr="00831E8E" w:rsidRDefault="000A0459" w:rsidP="005512DB">
      <w:pPr>
        <w:rPr>
          <w:b/>
          <w:bCs/>
        </w:rPr>
      </w:pPr>
    </w:p>
    <w:p w14:paraId="71F2D1EB" w14:textId="6769CFDF" w:rsidR="000A0459" w:rsidRDefault="000A0459" w:rsidP="000A0459">
      <w:pPr>
        <w:rPr>
          <w:rFonts w:ascii="Arial" w:hAnsi="Arial" w:cs="Arial"/>
          <w:bCs/>
          <w:color w:val="808080" w:themeColor="background1" w:themeShade="80"/>
          <w:sz w:val="28"/>
          <w:szCs w:val="28"/>
        </w:rPr>
      </w:pPr>
      <w:r w:rsidRPr="00831E8E">
        <w:rPr>
          <w:rFonts w:ascii="Arial" w:hAnsi="Arial" w:cs="Arial"/>
          <w:bCs/>
          <w:color w:val="808080" w:themeColor="background1" w:themeShade="80"/>
          <w:sz w:val="28"/>
          <w:szCs w:val="28"/>
        </w:rPr>
        <w:t>How to Avoid Sophisticated Attacks and Undiscovered Breaches</w:t>
      </w:r>
      <w:r w:rsidR="0088270C">
        <w:rPr>
          <w:rFonts w:ascii="Arial" w:hAnsi="Arial" w:cs="Arial"/>
          <w:bCs/>
          <w:color w:val="808080" w:themeColor="background1" w:themeShade="80"/>
          <w:sz w:val="28"/>
          <w:szCs w:val="28"/>
        </w:rPr>
        <w:t xml:space="preserve"> </w:t>
      </w:r>
      <w:r w:rsidR="0088270C">
        <w:rPr>
          <w:rFonts w:ascii="Arial" w:hAnsi="Arial" w:cs="Arial"/>
          <w:bCs/>
          <w:color w:val="808080" w:themeColor="background1" w:themeShade="80"/>
          <w:sz w:val="28"/>
          <w:szCs w:val="28"/>
        </w:rPr>
        <w:br/>
        <w:t>(Blind Spots)</w:t>
      </w:r>
    </w:p>
    <w:p w14:paraId="615892AC" w14:textId="71E354B7" w:rsidR="004C7019" w:rsidRDefault="004C7019" w:rsidP="000A0459">
      <w:pPr>
        <w:rPr>
          <w:rFonts w:ascii="Arial" w:hAnsi="Arial" w:cs="Arial"/>
          <w:bCs/>
          <w:color w:val="808080" w:themeColor="background1" w:themeShade="80"/>
          <w:sz w:val="28"/>
          <w:szCs w:val="28"/>
        </w:rPr>
      </w:pPr>
      <w:r>
        <w:rPr>
          <w:rFonts w:ascii="Arial" w:hAnsi="Arial" w:cs="Arial"/>
          <w:bCs/>
          <w:color w:val="808080" w:themeColor="background1" w:themeShade="80"/>
          <w:sz w:val="28"/>
          <w:szCs w:val="28"/>
        </w:rPr>
        <w:t>Messaging, 5 Emails, Digital Assets, Videos, White Papers, Solution Briefs, Webcast Recordings, Blogs, Breach Assessment</w:t>
      </w:r>
      <w:bookmarkStart w:id="0" w:name="_GoBack"/>
      <w:bookmarkEnd w:id="0"/>
    </w:p>
    <w:p w14:paraId="05E88BF8" w14:textId="77777777" w:rsidR="004C7019" w:rsidRPr="00831E8E" w:rsidRDefault="004C7019" w:rsidP="000A0459">
      <w:pPr>
        <w:rPr>
          <w:rFonts w:ascii="Arial" w:hAnsi="Arial" w:cs="Arial"/>
          <w:b/>
          <w:bCs/>
          <w:color w:val="808080" w:themeColor="background1" w:themeShade="80"/>
          <w:sz w:val="28"/>
          <w:szCs w:val="28"/>
        </w:rPr>
      </w:pPr>
    </w:p>
    <w:p w14:paraId="7ECBC55C" w14:textId="39160DFC" w:rsidR="00F734E0" w:rsidRPr="004C7019" w:rsidRDefault="00FF08E1">
      <w:pPr>
        <w:rPr>
          <w:rFonts w:ascii="Arial" w:hAnsi="Arial" w:cs="Arial"/>
          <w:b/>
          <w:bCs/>
          <w:color w:val="808080" w:themeColor="background1" w:themeShade="80"/>
          <w:sz w:val="28"/>
          <w:szCs w:val="28"/>
        </w:rPr>
      </w:pPr>
      <w:r>
        <w:rPr>
          <w:rFonts w:ascii="Arial" w:hAnsi="Arial" w:cs="Arial"/>
          <w:bCs/>
          <w:color w:val="808080" w:themeColor="background1" w:themeShade="80"/>
          <w:sz w:val="28"/>
          <w:szCs w:val="28"/>
        </w:rPr>
        <w:t>March</w:t>
      </w:r>
      <w:r w:rsidR="000A0459" w:rsidRPr="00831E8E">
        <w:rPr>
          <w:rFonts w:ascii="Arial" w:hAnsi="Arial" w:cs="Arial"/>
          <w:bCs/>
          <w:color w:val="808080" w:themeColor="background1" w:themeShade="80"/>
          <w:sz w:val="28"/>
          <w:szCs w:val="28"/>
        </w:rPr>
        <w:t xml:space="preserve"> 2021</w:t>
      </w:r>
      <w:r w:rsidR="00F734E0" w:rsidRPr="00831E8E">
        <w:rPr>
          <w:bCs/>
        </w:rPr>
        <w:br w:type="page"/>
      </w:r>
    </w:p>
    <w:p w14:paraId="241EA084" w14:textId="33A80616" w:rsidR="005C741D" w:rsidRPr="00D851FF" w:rsidRDefault="005C741D" w:rsidP="005C741D">
      <w:pPr>
        <w:spacing w:after="0"/>
        <w:rPr>
          <w:rFonts w:ascii="Arial" w:hAnsi="Arial" w:cs="Arial"/>
          <w:b/>
          <w:bCs/>
          <w:color w:val="A6192E"/>
          <w:sz w:val="32"/>
          <w:szCs w:val="32"/>
        </w:rPr>
      </w:pPr>
      <w:r w:rsidRPr="00D851FF">
        <w:rPr>
          <w:rFonts w:ascii="Arial" w:hAnsi="Arial" w:cs="Arial"/>
          <w:b/>
          <w:bCs/>
          <w:color w:val="A6192E"/>
          <w:sz w:val="32"/>
          <w:szCs w:val="32"/>
        </w:rPr>
        <w:lastRenderedPageBreak/>
        <w:t xml:space="preserve">Help </w:t>
      </w:r>
      <w:proofErr w:type="gramStart"/>
      <w:r w:rsidRPr="00D851FF">
        <w:rPr>
          <w:rFonts w:ascii="Arial" w:hAnsi="Arial" w:cs="Arial"/>
          <w:b/>
          <w:bCs/>
          <w:color w:val="A6192E"/>
          <w:sz w:val="32"/>
          <w:szCs w:val="32"/>
        </w:rPr>
        <w:t>Your</w:t>
      </w:r>
      <w:proofErr w:type="gramEnd"/>
      <w:r w:rsidRPr="00D851FF">
        <w:rPr>
          <w:rFonts w:ascii="Arial" w:hAnsi="Arial" w:cs="Arial"/>
          <w:b/>
          <w:bCs/>
          <w:color w:val="A6192E"/>
          <w:sz w:val="32"/>
          <w:szCs w:val="32"/>
        </w:rPr>
        <w:t xml:space="preserve"> Customers Avoid Endpoint Security Blind Spots </w:t>
      </w:r>
    </w:p>
    <w:p w14:paraId="4600B2CE" w14:textId="16CBF678" w:rsidR="005C741D" w:rsidRPr="00831E8E" w:rsidRDefault="005C741D" w:rsidP="005C741D">
      <w:pPr>
        <w:spacing w:after="0"/>
        <w:rPr>
          <w:rFonts w:ascii="Arial" w:hAnsi="Arial" w:cs="Arial"/>
          <w:b/>
          <w:bCs/>
          <w:sz w:val="28"/>
          <w:szCs w:val="28"/>
        </w:rPr>
      </w:pPr>
      <w:r w:rsidRPr="00831E8E">
        <w:rPr>
          <w:rFonts w:ascii="Arial" w:hAnsi="Arial" w:cs="Arial"/>
          <w:bCs/>
          <w:color w:val="7F7F7F" w:themeColor="text1" w:themeTint="80"/>
          <w:sz w:val="28"/>
          <w:szCs w:val="28"/>
        </w:rPr>
        <w:t>Endpoint Prote</w:t>
      </w:r>
      <w:r w:rsidR="00CA79EE">
        <w:rPr>
          <w:rFonts w:ascii="Arial" w:hAnsi="Arial" w:cs="Arial"/>
          <w:bCs/>
          <w:color w:val="7F7F7F" w:themeColor="text1" w:themeTint="80"/>
          <w:sz w:val="28"/>
          <w:szCs w:val="28"/>
        </w:rPr>
        <w:t>ction, Detection and Response Are</w:t>
      </w:r>
      <w:r w:rsidRPr="00831E8E">
        <w:rPr>
          <w:rFonts w:ascii="Arial" w:hAnsi="Arial" w:cs="Arial"/>
          <w:bCs/>
          <w:color w:val="7F7F7F" w:themeColor="text1" w:themeTint="80"/>
          <w:sz w:val="28"/>
          <w:szCs w:val="28"/>
        </w:rPr>
        <w:t xml:space="preserve"> Not Enough.</w:t>
      </w:r>
    </w:p>
    <w:p w14:paraId="37B24D9B" w14:textId="566B74B5" w:rsidR="00CA79EE" w:rsidRPr="00D851FF" w:rsidRDefault="00CA79EE" w:rsidP="00CA79EE">
      <w:pPr>
        <w:pStyle w:val="cdt4ke"/>
        <w:spacing w:before="225" w:beforeAutospacing="0" w:after="0" w:afterAutospacing="0"/>
        <w:rPr>
          <w:rFonts w:ascii="Arial" w:eastAsiaTheme="minorHAnsi" w:hAnsi="Arial" w:cs="Arial"/>
          <w:b/>
          <w:bCs/>
          <w:color w:val="A6192E"/>
          <w:lang w:eastAsia="en-US"/>
        </w:rPr>
      </w:pPr>
      <w:r w:rsidRPr="00D851FF">
        <w:rPr>
          <w:rFonts w:ascii="Arial" w:eastAsiaTheme="minorHAnsi" w:hAnsi="Arial" w:cs="Arial"/>
          <w:b/>
          <w:bCs/>
          <w:color w:val="A6192E"/>
          <w:lang w:eastAsia="en-US"/>
        </w:rPr>
        <w:t>Help your customers uncover the blind spots in their security defenses and, more importantly, explain to them how to neutralize these with Symantec Endpoint Security (SES) Complete.</w:t>
      </w:r>
    </w:p>
    <w:p w14:paraId="4E58085A" w14:textId="77777777" w:rsidR="00CA79EE" w:rsidRPr="007E3408" w:rsidRDefault="00CA79EE" w:rsidP="00CA79EE">
      <w:pPr>
        <w:spacing w:after="0"/>
        <w:rPr>
          <w:rFonts w:ascii="Arial" w:hAnsi="Arial" w:cs="Arial"/>
          <w:b/>
          <w:bCs/>
        </w:rPr>
      </w:pPr>
    </w:p>
    <w:p w14:paraId="224544C1" w14:textId="77777777" w:rsidR="00CA79EE" w:rsidRPr="007E3408" w:rsidRDefault="00CA79EE" w:rsidP="00CA79EE">
      <w:pPr>
        <w:spacing w:after="0"/>
        <w:rPr>
          <w:rFonts w:ascii="Arial" w:hAnsi="Arial" w:cs="Arial"/>
          <w:b/>
          <w:bCs/>
          <w:sz w:val="20"/>
          <w:szCs w:val="20"/>
        </w:rPr>
      </w:pPr>
      <w:r w:rsidRPr="007E3408">
        <w:rPr>
          <w:rFonts w:ascii="Arial" w:hAnsi="Arial" w:cs="Arial"/>
          <w:bCs/>
          <w:sz w:val="20"/>
          <w:szCs w:val="20"/>
        </w:rPr>
        <w:t xml:space="preserve">Organizations around the globe are strengthening their Endpoint Protection, Endpoint Detection and Response solutions to combat today’s ever-expanding threats. Yet many continue to be breached by attackers who exploit the very tools and applications that are trusted and used in day-to-day business operations. </w:t>
      </w:r>
    </w:p>
    <w:p w14:paraId="51FAEC3D" w14:textId="1C43CEE5" w:rsidR="005C741D" w:rsidRPr="007E3408" w:rsidRDefault="005C741D" w:rsidP="005C741D">
      <w:pPr>
        <w:spacing w:after="0"/>
        <w:rPr>
          <w:rFonts w:ascii="Arial" w:hAnsi="Arial" w:cs="Arial"/>
          <w:b/>
          <w:bCs/>
          <w:sz w:val="20"/>
          <w:szCs w:val="20"/>
        </w:rPr>
      </w:pPr>
    </w:p>
    <w:p w14:paraId="41F1DA21" w14:textId="2245B7AE" w:rsidR="005C741D" w:rsidRPr="00831E8E" w:rsidRDefault="005C741D" w:rsidP="005C741D">
      <w:pPr>
        <w:spacing w:after="0"/>
        <w:rPr>
          <w:rFonts w:ascii="Arial" w:hAnsi="Arial" w:cs="Arial"/>
          <w:b/>
          <w:bCs/>
          <w:sz w:val="20"/>
          <w:szCs w:val="20"/>
        </w:rPr>
      </w:pPr>
      <w:r w:rsidRPr="007E3408">
        <w:rPr>
          <w:rFonts w:ascii="Arial" w:hAnsi="Arial" w:cs="Arial"/>
          <w:bCs/>
          <w:sz w:val="20"/>
          <w:szCs w:val="20"/>
        </w:rPr>
        <w:t>Why? Companies have blind spots. Moreover, traditional Endpoint Protection, Endpoint Detection and Response (EDR) solutions are not defending against these weaknesses.</w:t>
      </w:r>
    </w:p>
    <w:p w14:paraId="67A447AE" w14:textId="77777777" w:rsidR="005C741D" w:rsidRPr="00831E8E" w:rsidRDefault="005C741D" w:rsidP="005C741D">
      <w:pPr>
        <w:spacing w:after="0"/>
        <w:rPr>
          <w:rFonts w:ascii="Arial" w:hAnsi="Arial" w:cs="Arial"/>
          <w:b/>
          <w:bCs/>
          <w:sz w:val="20"/>
          <w:szCs w:val="20"/>
        </w:rPr>
      </w:pPr>
    </w:p>
    <w:p w14:paraId="7649F402" w14:textId="245EC444" w:rsidR="005C741D" w:rsidRPr="00831E8E" w:rsidRDefault="005C741D" w:rsidP="005C741D">
      <w:pPr>
        <w:spacing w:after="0"/>
        <w:rPr>
          <w:rFonts w:ascii="Arial" w:hAnsi="Arial" w:cs="Arial"/>
          <w:b/>
          <w:bCs/>
          <w:sz w:val="20"/>
          <w:szCs w:val="20"/>
        </w:rPr>
      </w:pPr>
      <w:r w:rsidRPr="00831E8E">
        <w:rPr>
          <w:rFonts w:ascii="Arial" w:hAnsi="Arial" w:cs="Arial"/>
          <w:bCs/>
          <w:sz w:val="20"/>
          <w:szCs w:val="20"/>
        </w:rPr>
        <w:t>Among the biggest security challenges today are:</w:t>
      </w:r>
    </w:p>
    <w:p w14:paraId="629C2750" w14:textId="77777777" w:rsidR="005C741D" w:rsidRPr="00831E8E" w:rsidRDefault="005C741D" w:rsidP="005C741D">
      <w:pPr>
        <w:spacing w:after="0"/>
        <w:rPr>
          <w:rFonts w:ascii="Arial" w:hAnsi="Arial" w:cs="Arial"/>
          <w:b/>
          <w:bCs/>
          <w:sz w:val="20"/>
          <w:szCs w:val="20"/>
        </w:rPr>
      </w:pPr>
    </w:p>
    <w:p w14:paraId="0E22F0A2" w14:textId="0DBB6731" w:rsidR="005C741D" w:rsidRPr="00966220" w:rsidRDefault="005C741D" w:rsidP="00966220">
      <w:pPr>
        <w:pStyle w:val="ListParagraph"/>
        <w:numPr>
          <w:ilvl w:val="0"/>
          <w:numId w:val="8"/>
        </w:numPr>
        <w:spacing w:after="0"/>
        <w:rPr>
          <w:rFonts w:ascii="Arial" w:hAnsi="Arial" w:cs="Arial"/>
          <w:b/>
          <w:bCs/>
          <w:sz w:val="20"/>
          <w:szCs w:val="20"/>
        </w:rPr>
      </w:pPr>
      <w:r w:rsidRPr="00966220">
        <w:rPr>
          <w:rFonts w:ascii="Arial" w:hAnsi="Arial" w:cs="Arial"/>
          <w:b/>
          <w:bCs/>
          <w:sz w:val="20"/>
          <w:szCs w:val="20"/>
        </w:rPr>
        <w:t>‘Living-off-the-land’ attacks</w:t>
      </w:r>
      <w:r w:rsidRPr="00966220">
        <w:rPr>
          <w:rFonts w:ascii="Arial" w:hAnsi="Arial" w:cs="Arial"/>
          <w:bCs/>
          <w:sz w:val="20"/>
          <w:szCs w:val="20"/>
        </w:rPr>
        <w:t>: Attackers take advantage of legitimate applications that run a business and use them for malicious activities that are difficult to spot.</w:t>
      </w:r>
    </w:p>
    <w:p w14:paraId="6D762CB9" w14:textId="0417445E" w:rsidR="005C741D" w:rsidRPr="00966220" w:rsidRDefault="00FD45EF" w:rsidP="00966220">
      <w:pPr>
        <w:pStyle w:val="ListParagraph"/>
        <w:numPr>
          <w:ilvl w:val="0"/>
          <w:numId w:val="8"/>
        </w:numPr>
        <w:spacing w:after="0"/>
        <w:rPr>
          <w:rFonts w:ascii="Arial" w:hAnsi="Arial" w:cs="Arial"/>
          <w:b/>
          <w:bCs/>
          <w:sz w:val="20"/>
          <w:szCs w:val="20"/>
        </w:rPr>
      </w:pPr>
      <w:r w:rsidRPr="00966220">
        <w:rPr>
          <w:rFonts w:ascii="Arial" w:hAnsi="Arial" w:cs="Arial"/>
          <w:b/>
          <w:bCs/>
          <w:sz w:val="20"/>
          <w:szCs w:val="20"/>
        </w:rPr>
        <w:t>Active Directory attacks:</w:t>
      </w:r>
      <w:r w:rsidRPr="00966220">
        <w:rPr>
          <w:rFonts w:ascii="Arial" w:hAnsi="Arial" w:cs="Arial"/>
          <w:bCs/>
          <w:sz w:val="20"/>
          <w:szCs w:val="20"/>
        </w:rPr>
        <w:t xml:space="preserve"> </w:t>
      </w:r>
      <w:r w:rsidR="005C741D" w:rsidRPr="00966220">
        <w:rPr>
          <w:rFonts w:ascii="Arial" w:hAnsi="Arial" w:cs="Arial"/>
          <w:bCs/>
          <w:sz w:val="20"/>
          <w:szCs w:val="20"/>
        </w:rPr>
        <w:t>When this widely accessible service is unprotected, it becomes a vantage point for attackers and lateral movement.</w:t>
      </w:r>
    </w:p>
    <w:p w14:paraId="699EA60C" w14:textId="1B9D1443" w:rsidR="005C741D" w:rsidRPr="00966220" w:rsidRDefault="005C741D" w:rsidP="00966220">
      <w:pPr>
        <w:pStyle w:val="ListParagraph"/>
        <w:numPr>
          <w:ilvl w:val="0"/>
          <w:numId w:val="8"/>
        </w:numPr>
        <w:spacing w:after="0"/>
        <w:rPr>
          <w:rFonts w:ascii="Arial" w:hAnsi="Arial" w:cs="Arial"/>
          <w:b/>
          <w:bCs/>
          <w:sz w:val="20"/>
          <w:szCs w:val="20"/>
        </w:rPr>
      </w:pPr>
      <w:r w:rsidRPr="00966220">
        <w:rPr>
          <w:rFonts w:ascii="Arial" w:hAnsi="Arial" w:cs="Arial"/>
          <w:b/>
          <w:bCs/>
          <w:sz w:val="20"/>
          <w:szCs w:val="20"/>
        </w:rPr>
        <w:t>Undiscovered inflight targeted breaches</w:t>
      </w:r>
      <w:r w:rsidRPr="00966220">
        <w:rPr>
          <w:rFonts w:ascii="Arial" w:hAnsi="Arial" w:cs="Arial"/>
          <w:bCs/>
          <w:sz w:val="20"/>
          <w:szCs w:val="20"/>
        </w:rPr>
        <w:t xml:space="preserve">: Attackers may dwell for a long time, remaining undetected due to massive amounts of data and a lack of information on attack types. </w:t>
      </w:r>
    </w:p>
    <w:p w14:paraId="741F0CE7" w14:textId="77777777" w:rsidR="005C741D" w:rsidRPr="00831E8E" w:rsidRDefault="005C741D" w:rsidP="005C741D">
      <w:pPr>
        <w:pStyle w:val="ListParagraph"/>
        <w:spacing w:after="0"/>
        <w:ind w:left="1080"/>
        <w:rPr>
          <w:rFonts w:ascii="Arial" w:hAnsi="Arial" w:cs="Arial"/>
          <w:b/>
          <w:bCs/>
          <w:sz w:val="20"/>
          <w:szCs w:val="20"/>
        </w:rPr>
      </w:pPr>
    </w:p>
    <w:p w14:paraId="32ABC837" w14:textId="59F2B837" w:rsidR="002116B0" w:rsidRPr="0033511B" w:rsidRDefault="005C741D" w:rsidP="0033511B">
      <w:pPr>
        <w:spacing w:after="0"/>
        <w:rPr>
          <w:rFonts w:ascii="Arial" w:hAnsi="Arial" w:cs="Arial"/>
          <w:bCs/>
          <w:sz w:val="20"/>
          <w:szCs w:val="20"/>
        </w:rPr>
      </w:pPr>
      <w:r w:rsidRPr="00831E8E">
        <w:rPr>
          <w:rFonts w:ascii="Arial" w:hAnsi="Arial" w:cs="Arial"/>
          <w:bCs/>
          <w:sz w:val="20"/>
          <w:szCs w:val="20"/>
        </w:rPr>
        <w:t xml:space="preserve">If such blind spots leave your customers exposed, they need Symantec Endpoint Security Complete (SESC). They will get more visibility into these activities and can benefit from the additional protection that their current solution does not provide. </w:t>
      </w:r>
    </w:p>
    <w:p w14:paraId="5899FD48" w14:textId="77777777" w:rsidR="002116B0" w:rsidRPr="0033511B" w:rsidRDefault="002116B0" w:rsidP="0033511B">
      <w:pPr>
        <w:pStyle w:val="cdt4ke"/>
        <w:spacing w:before="225" w:beforeAutospacing="0" w:after="0" w:afterAutospacing="0"/>
        <w:rPr>
          <w:rFonts w:ascii="Arial" w:eastAsiaTheme="minorHAnsi" w:hAnsi="Arial" w:cs="Arial"/>
          <w:bCs/>
          <w:color w:val="000000" w:themeColor="text1"/>
          <w:sz w:val="20"/>
          <w:szCs w:val="20"/>
          <w:lang w:eastAsia="en-US"/>
        </w:rPr>
      </w:pPr>
      <w:r w:rsidRPr="0033511B">
        <w:rPr>
          <w:rFonts w:ascii="Arial" w:eastAsiaTheme="minorHAnsi" w:hAnsi="Arial" w:cs="Arial"/>
          <w:bCs/>
          <w:color w:val="000000" w:themeColor="text1"/>
          <w:sz w:val="20"/>
          <w:szCs w:val="20"/>
          <w:lang w:eastAsia="en-US"/>
        </w:rPr>
        <w:t>SESC – Neutralizes These Blind Spots</w:t>
      </w:r>
    </w:p>
    <w:p w14:paraId="269697F0" w14:textId="77777777" w:rsidR="002116B0" w:rsidRDefault="002116B0" w:rsidP="002116B0">
      <w:pPr>
        <w:spacing w:after="0"/>
        <w:rPr>
          <w:b/>
          <w:bCs/>
        </w:rPr>
      </w:pPr>
    </w:p>
    <w:p w14:paraId="598AE820" w14:textId="37CA168C" w:rsidR="002116B0" w:rsidRPr="002116B0" w:rsidRDefault="002116B0" w:rsidP="002116B0">
      <w:pPr>
        <w:pStyle w:val="ListParagraph"/>
        <w:numPr>
          <w:ilvl w:val="0"/>
          <w:numId w:val="7"/>
        </w:numPr>
        <w:spacing w:after="0"/>
        <w:rPr>
          <w:rFonts w:ascii="Arial" w:hAnsi="Arial" w:cs="Arial"/>
          <w:b/>
          <w:bCs/>
          <w:sz w:val="20"/>
          <w:szCs w:val="20"/>
        </w:rPr>
      </w:pPr>
      <w:r w:rsidRPr="002116B0">
        <w:rPr>
          <w:rFonts w:ascii="Arial" w:hAnsi="Arial" w:cs="Arial"/>
          <w:b/>
          <w:bCs/>
          <w:sz w:val="20"/>
          <w:szCs w:val="20"/>
        </w:rPr>
        <w:t xml:space="preserve">Behavioral Isolation: </w:t>
      </w:r>
      <w:r w:rsidRPr="002116B0">
        <w:rPr>
          <w:rFonts w:ascii="Arial" w:hAnsi="Arial" w:cs="Arial"/>
          <w:bCs/>
          <w:sz w:val="20"/>
          <w:szCs w:val="20"/>
        </w:rPr>
        <w:t>Symantec intelligence identifies, manages and blocks risky behavior; reduces attack surface</w:t>
      </w:r>
      <w:r w:rsidR="000D1824">
        <w:rPr>
          <w:rFonts w:ascii="Arial" w:hAnsi="Arial" w:cs="Arial"/>
          <w:bCs/>
          <w:sz w:val="20"/>
          <w:szCs w:val="20"/>
        </w:rPr>
        <w:t xml:space="preserve"> (</w:t>
      </w:r>
      <w:hyperlink r:id="rId8" w:history="1">
        <w:r w:rsidR="000D1824" w:rsidRPr="000D1824">
          <w:rPr>
            <w:rStyle w:val="Hyperlink"/>
            <w:rFonts w:cs="Arial"/>
            <w:bCs/>
            <w:color w:val="4472C4" w:themeColor="accent1"/>
            <w:sz w:val="18"/>
            <w:szCs w:val="18"/>
            <w:u w:val="single"/>
          </w:rPr>
          <w:t>Video</w:t>
        </w:r>
      </w:hyperlink>
      <w:r w:rsidR="000D1824">
        <w:rPr>
          <w:rFonts w:ascii="Arial" w:hAnsi="Arial" w:cs="Arial"/>
          <w:bCs/>
          <w:sz w:val="20"/>
          <w:szCs w:val="20"/>
        </w:rPr>
        <w:t>)</w:t>
      </w:r>
    </w:p>
    <w:p w14:paraId="0315B7A1" w14:textId="6606133A" w:rsidR="002116B0" w:rsidRPr="002116B0" w:rsidRDefault="002116B0" w:rsidP="002116B0">
      <w:pPr>
        <w:pStyle w:val="ListParagraph"/>
        <w:numPr>
          <w:ilvl w:val="0"/>
          <w:numId w:val="7"/>
        </w:numPr>
        <w:rPr>
          <w:rFonts w:ascii="Arial" w:hAnsi="Arial" w:cs="Arial"/>
          <w:bCs/>
          <w:sz w:val="20"/>
          <w:szCs w:val="20"/>
        </w:rPr>
      </w:pPr>
      <w:r w:rsidRPr="002116B0">
        <w:rPr>
          <w:rFonts w:ascii="Arial" w:hAnsi="Arial" w:cs="Arial"/>
          <w:b/>
          <w:bCs/>
          <w:sz w:val="20"/>
          <w:szCs w:val="20"/>
          <w:lang w:val="en-US"/>
        </w:rPr>
        <w:t xml:space="preserve">Active Directory Security: </w:t>
      </w:r>
      <w:r w:rsidRPr="002116B0">
        <w:rPr>
          <w:rFonts w:ascii="Arial" w:hAnsi="Arial" w:cs="Arial"/>
          <w:bCs/>
          <w:sz w:val="20"/>
          <w:szCs w:val="20"/>
          <w:lang w:val="en-US"/>
        </w:rPr>
        <w:t>AI-driven;</w:t>
      </w:r>
      <w:r w:rsidRPr="002116B0">
        <w:rPr>
          <w:rFonts w:ascii="Arial" w:hAnsi="Arial" w:cs="Arial"/>
          <w:bCs/>
          <w:sz w:val="20"/>
          <w:szCs w:val="20"/>
        </w:rPr>
        <w:t xml:space="preserve"> </w:t>
      </w:r>
      <w:r w:rsidRPr="002116B0">
        <w:rPr>
          <w:rFonts w:ascii="Arial" w:hAnsi="Arial" w:cs="Arial"/>
          <w:bCs/>
          <w:sz w:val="20"/>
          <w:szCs w:val="20"/>
          <w:lang w:val="en-US"/>
        </w:rPr>
        <w:t>blocks lateral movement at the point of breach</w:t>
      </w:r>
      <w:r w:rsidRPr="002116B0">
        <w:rPr>
          <w:rFonts w:ascii="Arial" w:hAnsi="Arial" w:cs="Arial"/>
          <w:bCs/>
          <w:sz w:val="20"/>
          <w:szCs w:val="20"/>
        </w:rPr>
        <w:t xml:space="preserve">; </w:t>
      </w:r>
      <w:r w:rsidRPr="002116B0">
        <w:rPr>
          <w:rFonts w:ascii="Arial" w:hAnsi="Arial" w:cs="Arial"/>
          <w:bCs/>
          <w:sz w:val="20"/>
          <w:szCs w:val="20"/>
          <w:lang w:val="en-US"/>
        </w:rPr>
        <w:t>prevents attackers from stealing AD information and credentials</w:t>
      </w:r>
      <w:r w:rsidR="000D1824">
        <w:rPr>
          <w:rFonts w:ascii="Arial" w:hAnsi="Arial" w:cs="Arial"/>
          <w:bCs/>
          <w:sz w:val="20"/>
          <w:szCs w:val="20"/>
          <w:lang w:val="en-US"/>
        </w:rPr>
        <w:t xml:space="preserve"> (</w:t>
      </w:r>
      <w:hyperlink r:id="rId9" w:history="1">
        <w:r w:rsidR="000D1824" w:rsidRPr="000D1824">
          <w:rPr>
            <w:rStyle w:val="Hyperlink"/>
            <w:rFonts w:cs="Arial"/>
            <w:bCs/>
            <w:color w:val="4472C4" w:themeColor="accent1"/>
            <w:sz w:val="18"/>
            <w:szCs w:val="18"/>
            <w:u w:val="single"/>
          </w:rPr>
          <w:t>Video</w:t>
        </w:r>
      </w:hyperlink>
      <w:r w:rsidR="000D1824">
        <w:rPr>
          <w:rFonts w:ascii="Arial" w:hAnsi="Arial" w:cs="Arial"/>
          <w:bCs/>
          <w:sz w:val="20"/>
          <w:szCs w:val="20"/>
          <w:lang w:val="en-US"/>
        </w:rPr>
        <w:t>)</w:t>
      </w:r>
    </w:p>
    <w:p w14:paraId="0309E85D" w14:textId="4597790C" w:rsidR="005427CD" w:rsidRDefault="002116B0" w:rsidP="005427CD">
      <w:pPr>
        <w:pStyle w:val="ListParagraph"/>
        <w:numPr>
          <w:ilvl w:val="0"/>
          <w:numId w:val="7"/>
        </w:numPr>
        <w:rPr>
          <w:rFonts w:ascii="Arial" w:hAnsi="Arial" w:cs="Arial"/>
          <w:bCs/>
          <w:sz w:val="20"/>
          <w:szCs w:val="20"/>
          <w:lang w:val="en-US"/>
        </w:rPr>
      </w:pPr>
      <w:r w:rsidRPr="002116B0">
        <w:rPr>
          <w:rFonts w:ascii="Arial" w:hAnsi="Arial" w:cs="Arial"/>
          <w:b/>
          <w:bCs/>
          <w:sz w:val="20"/>
          <w:szCs w:val="20"/>
          <w:lang w:val="en-US"/>
        </w:rPr>
        <w:t xml:space="preserve">Threat Hunter: </w:t>
      </w:r>
      <w:r w:rsidRPr="002116B0">
        <w:rPr>
          <w:rFonts w:ascii="Arial" w:hAnsi="Arial" w:cs="Arial"/>
          <w:bCs/>
          <w:sz w:val="20"/>
          <w:szCs w:val="20"/>
          <w:lang w:val="en-US"/>
        </w:rPr>
        <w:t>Gathers</w:t>
      </w:r>
      <w:r w:rsidRPr="002116B0">
        <w:rPr>
          <w:rFonts w:ascii="Arial" w:hAnsi="Arial" w:cs="Arial"/>
          <w:b/>
          <w:bCs/>
          <w:sz w:val="20"/>
          <w:szCs w:val="20"/>
          <w:lang w:val="en-US"/>
        </w:rPr>
        <w:t xml:space="preserve"> </w:t>
      </w:r>
      <w:r w:rsidRPr="002116B0">
        <w:rPr>
          <w:rFonts w:ascii="Arial" w:hAnsi="Arial" w:cs="Arial"/>
          <w:bCs/>
          <w:sz w:val="20"/>
          <w:szCs w:val="20"/>
          <w:lang w:val="en-US"/>
        </w:rPr>
        <w:t>global threat intelligence from organizations of all sizes; identifies earliest signs of hidden attacks in organizations; notifies your SOC through the product console</w:t>
      </w:r>
      <w:r w:rsidR="000D1824">
        <w:rPr>
          <w:rFonts w:ascii="Arial" w:hAnsi="Arial" w:cs="Arial"/>
          <w:bCs/>
          <w:sz w:val="20"/>
          <w:szCs w:val="20"/>
          <w:lang w:val="en-US"/>
        </w:rPr>
        <w:t xml:space="preserve"> (</w:t>
      </w:r>
      <w:hyperlink r:id="rId10" w:history="1">
        <w:r w:rsidR="000D1824" w:rsidRPr="000D1824">
          <w:rPr>
            <w:rStyle w:val="Hyperlink"/>
            <w:rFonts w:cs="Arial"/>
            <w:bCs/>
            <w:color w:val="4472C4" w:themeColor="accent1"/>
            <w:sz w:val="18"/>
            <w:szCs w:val="18"/>
            <w:u w:val="single"/>
          </w:rPr>
          <w:t>White Paper</w:t>
        </w:r>
      </w:hyperlink>
      <w:r w:rsidR="000D1824">
        <w:rPr>
          <w:rFonts w:ascii="Arial" w:hAnsi="Arial" w:cs="Arial"/>
          <w:bCs/>
          <w:sz w:val="20"/>
          <w:szCs w:val="20"/>
          <w:lang w:val="en-US"/>
        </w:rPr>
        <w:t>)</w:t>
      </w:r>
    </w:p>
    <w:p w14:paraId="5F0BADC7" w14:textId="77777777" w:rsidR="00E92A09" w:rsidRPr="005427CD" w:rsidRDefault="00E92A09" w:rsidP="00E92A09">
      <w:pPr>
        <w:pStyle w:val="ListParagraph"/>
        <w:rPr>
          <w:rFonts w:ascii="Arial" w:hAnsi="Arial" w:cs="Arial"/>
          <w:bCs/>
          <w:sz w:val="20"/>
          <w:szCs w:val="20"/>
          <w:lang w:val="en-US"/>
        </w:rPr>
      </w:pPr>
    </w:p>
    <w:p w14:paraId="3141EF52" w14:textId="3401AF1C" w:rsidR="005427CD" w:rsidRPr="0033511B" w:rsidRDefault="00E92A09" w:rsidP="005C741D">
      <w:pPr>
        <w:spacing w:after="0"/>
        <w:rPr>
          <w:rFonts w:ascii="Arial" w:hAnsi="Arial" w:cs="Arial"/>
          <w:bCs/>
          <w:color w:val="A6192E"/>
          <w:sz w:val="24"/>
          <w:szCs w:val="24"/>
        </w:rPr>
      </w:pPr>
      <w:r w:rsidRPr="0033511B">
        <w:rPr>
          <w:rFonts w:ascii="Arial" w:hAnsi="Arial" w:cs="Arial"/>
          <w:bCs/>
          <w:color w:val="A6192E"/>
          <w:sz w:val="24"/>
          <w:szCs w:val="24"/>
        </w:rPr>
        <w:t>Key Campaign Resources</w:t>
      </w:r>
    </w:p>
    <w:p w14:paraId="05F8676F" w14:textId="27EFB0B5" w:rsidR="00DF3F5D" w:rsidRPr="00FF08E1" w:rsidRDefault="00107EB4" w:rsidP="005C741D">
      <w:pPr>
        <w:spacing w:after="0"/>
        <w:rPr>
          <w:rFonts w:ascii="Arial" w:hAnsi="Arial" w:cs="Arial"/>
          <w:b/>
          <w:bCs/>
          <w:sz w:val="20"/>
          <w:szCs w:val="20"/>
        </w:rPr>
      </w:pPr>
      <w:hyperlink r:id="rId11" w:history="1">
        <w:r w:rsidR="00C40736" w:rsidRPr="00E46AA1">
          <w:rPr>
            <w:rStyle w:val="Hyperlink"/>
            <w:rFonts w:cs="Arial"/>
            <w:b/>
            <w:bCs/>
            <w:color w:val="4472C4" w:themeColor="accent1"/>
            <w:sz w:val="18"/>
            <w:szCs w:val="18"/>
            <w:u w:val="single"/>
          </w:rPr>
          <w:t>Download Email Nurture Campaign Here</w:t>
        </w:r>
      </w:hyperlink>
      <w:r w:rsidR="00674CDC" w:rsidRPr="00E46AA1">
        <w:rPr>
          <w:rStyle w:val="Hyperlink"/>
          <w:rFonts w:cs="Arial"/>
          <w:b/>
          <w:bCs/>
          <w:color w:val="4472C4" w:themeColor="accent1"/>
          <w:sz w:val="18"/>
          <w:szCs w:val="18"/>
          <w:u w:val="single"/>
        </w:rPr>
        <w:t xml:space="preserve"> </w:t>
      </w:r>
      <w:r w:rsidR="00674CDC" w:rsidRPr="00E46AA1">
        <w:rPr>
          <w:rStyle w:val="Hyperlink"/>
          <w:rFonts w:cs="Arial"/>
          <w:b/>
          <w:bCs/>
          <w:color w:val="4472C4" w:themeColor="accent1"/>
          <w:sz w:val="18"/>
          <w:szCs w:val="18"/>
        </w:rPr>
        <w:t xml:space="preserve"> </w:t>
      </w:r>
      <w:r w:rsidR="00E92A09" w:rsidRPr="00E46AA1">
        <w:rPr>
          <w:rStyle w:val="Hyperlink"/>
          <w:rFonts w:cs="Arial"/>
          <w:b/>
          <w:bCs/>
          <w:color w:val="4472C4" w:themeColor="accent1"/>
          <w:sz w:val="18"/>
          <w:szCs w:val="18"/>
        </w:rPr>
        <w:t xml:space="preserve">  </w:t>
      </w:r>
      <w:hyperlink r:id="rId12" w:history="1">
        <w:r w:rsidR="00E92A09" w:rsidRPr="00E46AA1">
          <w:rPr>
            <w:rStyle w:val="Hyperlink"/>
            <w:rFonts w:cs="Arial"/>
            <w:b/>
            <w:bCs/>
            <w:color w:val="4472C4" w:themeColor="accent1"/>
            <w:sz w:val="18"/>
            <w:szCs w:val="18"/>
            <w:u w:val="single"/>
          </w:rPr>
          <w:t>Digital Assets</w:t>
        </w:r>
        <w:r w:rsidR="00674CDC" w:rsidRPr="00E46AA1">
          <w:rPr>
            <w:rStyle w:val="Hyperlink"/>
            <w:rFonts w:cs="Arial"/>
            <w:b/>
            <w:bCs/>
            <w:sz w:val="18"/>
            <w:szCs w:val="18"/>
          </w:rPr>
          <w:t xml:space="preserve"> </w:t>
        </w:r>
      </w:hyperlink>
      <w:r w:rsidR="00C711B7" w:rsidRPr="00E46AA1">
        <w:rPr>
          <w:rStyle w:val="Hyperlink"/>
          <w:rFonts w:cs="Arial"/>
          <w:b/>
          <w:bCs/>
          <w:sz w:val="18"/>
          <w:szCs w:val="18"/>
        </w:rPr>
        <w:t xml:space="preserve">  </w:t>
      </w:r>
      <w:hyperlink r:id="rId13" w:history="1">
        <w:r w:rsidR="00C711B7" w:rsidRPr="00E46AA1">
          <w:rPr>
            <w:rStyle w:val="Hyperlink"/>
            <w:rFonts w:cs="Arial"/>
            <w:b/>
            <w:bCs/>
            <w:color w:val="4472C4" w:themeColor="accent1"/>
            <w:sz w:val="18"/>
            <w:szCs w:val="18"/>
            <w:u w:val="single"/>
          </w:rPr>
          <w:t>Social Assets</w:t>
        </w:r>
        <w:r w:rsidR="00674CDC" w:rsidRPr="00E46AA1">
          <w:rPr>
            <w:rStyle w:val="Hyperlink"/>
            <w:rFonts w:cs="Arial"/>
            <w:b/>
            <w:bCs/>
            <w:sz w:val="18"/>
            <w:szCs w:val="18"/>
          </w:rPr>
          <w:t xml:space="preserve"> </w:t>
        </w:r>
        <w:r w:rsidR="00E92A09" w:rsidRPr="00E46AA1">
          <w:rPr>
            <w:rStyle w:val="Hyperlink"/>
            <w:rFonts w:cs="Arial"/>
            <w:b/>
            <w:bCs/>
            <w:sz w:val="18"/>
            <w:szCs w:val="18"/>
          </w:rPr>
          <w:t xml:space="preserve"> </w:t>
        </w:r>
      </w:hyperlink>
      <w:r w:rsidR="00E92A09" w:rsidRPr="00E46AA1">
        <w:rPr>
          <w:rStyle w:val="Hyperlink"/>
          <w:rFonts w:cs="Arial"/>
          <w:b/>
          <w:bCs/>
          <w:color w:val="4472C4" w:themeColor="accent1"/>
          <w:sz w:val="18"/>
          <w:szCs w:val="18"/>
        </w:rPr>
        <w:t xml:space="preserve"> </w:t>
      </w:r>
      <w:hyperlink r:id="rId14" w:history="1">
        <w:r w:rsidR="00674CDC" w:rsidRPr="00E46AA1">
          <w:rPr>
            <w:rStyle w:val="Hyperlink"/>
            <w:rFonts w:cs="Arial"/>
            <w:b/>
            <w:bCs/>
            <w:color w:val="4472C4" w:themeColor="accent1"/>
            <w:sz w:val="18"/>
            <w:szCs w:val="18"/>
            <w:u w:val="single"/>
          </w:rPr>
          <w:t>Call Scrip</w:t>
        </w:r>
        <w:r w:rsidR="00B57F4C">
          <w:rPr>
            <w:rStyle w:val="Hyperlink"/>
            <w:rFonts w:cs="Arial"/>
            <w:b/>
            <w:bCs/>
            <w:color w:val="4472C4" w:themeColor="accent1"/>
            <w:sz w:val="18"/>
            <w:szCs w:val="18"/>
            <w:u w:val="single"/>
          </w:rPr>
          <w:t xml:space="preserve">t </w:t>
        </w:r>
      </w:hyperlink>
      <w:r w:rsidR="00FF08E1">
        <w:rPr>
          <w:rFonts w:ascii="Arial" w:hAnsi="Arial" w:cs="Arial"/>
          <w:b/>
          <w:bCs/>
          <w:sz w:val="20"/>
          <w:szCs w:val="20"/>
        </w:rPr>
        <w:t xml:space="preserve">  </w:t>
      </w:r>
      <w:hyperlink r:id="rId15" w:history="1">
        <w:r w:rsidR="00FF08E1" w:rsidRPr="00FF08E1">
          <w:rPr>
            <w:rStyle w:val="Hyperlink"/>
            <w:rFonts w:cs="Arial"/>
            <w:b/>
            <w:bCs/>
            <w:color w:val="4472C4" w:themeColor="accent1"/>
            <w:sz w:val="18"/>
            <w:szCs w:val="18"/>
            <w:u w:val="single"/>
          </w:rPr>
          <w:t>Sales Play</w:t>
        </w:r>
      </w:hyperlink>
    </w:p>
    <w:p w14:paraId="6A9D5FE6" w14:textId="315AC6D4" w:rsidR="00E92A09" w:rsidRDefault="00E92A09" w:rsidP="00E92A09">
      <w:pPr>
        <w:spacing w:after="0"/>
        <w:rPr>
          <w:rFonts w:ascii="Arial" w:hAnsi="Arial" w:cs="Arial"/>
          <w:b/>
          <w:color w:val="C00000"/>
          <w:sz w:val="20"/>
          <w:szCs w:val="20"/>
        </w:rPr>
      </w:pPr>
    </w:p>
    <w:p w14:paraId="028A79E7" w14:textId="77777777" w:rsidR="00FF08E1" w:rsidRDefault="00FF08E1" w:rsidP="00E92A09">
      <w:pPr>
        <w:spacing w:after="0"/>
        <w:rPr>
          <w:rFonts w:ascii="Arial" w:hAnsi="Arial" w:cs="Arial"/>
          <w:b/>
          <w:color w:val="C00000"/>
          <w:sz w:val="20"/>
          <w:szCs w:val="20"/>
        </w:rPr>
      </w:pPr>
    </w:p>
    <w:p w14:paraId="05D501E2" w14:textId="439DCDE2" w:rsidR="00E92A09" w:rsidRPr="0033511B" w:rsidRDefault="00E92A09" w:rsidP="00E92A09">
      <w:pPr>
        <w:spacing w:after="0"/>
        <w:rPr>
          <w:rFonts w:ascii="Arial" w:hAnsi="Arial" w:cs="Arial"/>
          <w:bCs/>
          <w:color w:val="A6192E"/>
          <w:sz w:val="24"/>
          <w:szCs w:val="24"/>
        </w:rPr>
      </w:pPr>
      <w:r w:rsidRPr="0033511B">
        <w:rPr>
          <w:rFonts w:ascii="Arial" w:hAnsi="Arial" w:cs="Arial"/>
          <w:bCs/>
          <w:color w:val="A6192E"/>
          <w:sz w:val="24"/>
          <w:szCs w:val="24"/>
        </w:rPr>
        <w:t>Message Summary: SESC – One Agent | One Console | One Product</w:t>
      </w:r>
    </w:p>
    <w:p w14:paraId="17F02BD9" w14:textId="73CEE804" w:rsidR="00E92A09" w:rsidRPr="00DB4AB0" w:rsidRDefault="00107EB4" w:rsidP="00E92A09">
      <w:pPr>
        <w:spacing w:after="0"/>
        <w:rPr>
          <w:rFonts w:ascii="Arial" w:hAnsi="Arial" w:cs="Arial"/>
          <w:b/>
          <w:color w:val="C00000"/>
          <w:sz w:val="20"/>
          <w:szCs w:val="20"/>
        </w:rPr>
      </w:pPr>
      <w:hyperlink r:id="rId16" w:history="1">
        <w:r w:rsidR="00E92A09" w:rsidRPr="00DB4AB0">
          <w:rPr>
            <w:rStyle w:val="Hyperlink"/>
            <w:rFonts w:cs="Arial"/>
            <w:b/>
            <w:bCs/>
            <w:color w:val="4472C4" w:themeColor="accent1"/>
            <w:sz w:val="18"/>
            <w:szCs w:val="18"/>
            <w:u w:val="single"/>
          </w:rPr>
          <w:t>Read Messaging ppt Slides Here</w:t>
        </w:r>
      </w:hyperlink>
      <w:r w:rsidR="00E92A09" w:rsidRPr="00DB4AB0">
        <w:rPr>
          <w:rStyle w:val="Hyperlink"/>
          <w:b/>
          <w:color w:val="4472C4" w:themeColor="accent1"/>
          <w:sz w:val="18"/>
          <w:szCs w:val="18"/>
        </w:rPr>
        <w:t xml:space="preserve">    </w:t>
      </w:r>
    </w:p>
    <w:p w14:paraId="57B6007C" w14:textId="77777777" w:rsidR="00E92A09" w:rsidRPr="007E3408" w:rsidRDefault="00E92A09" w:rsidP="00E92A09">
      <w:pPr>
        <w:spacing w:after="0"/>
        <w:rPr>
          <w:rFonts w:ascii="Arial" w:hAnsi="Arial" w:cs="Arial"/>
          <w:b/>
          <w:bCs/>
          <w:sz w:val="20"/>
          <w:szCs w:val="20"/>
        </w:rPr>
      </w:pPr>
    </w:p>
    <w:p w14:paraId="37EC786F" w14:textId="7C3D7686" w:rsidR="00E92A09" w:rsidRDefault="00E92A09" w:rsidP="00E92A09">
      <w:pPr>
        <w:spacing w:after="0"/>
        <w:rPr>
          <w:rFonts w:ascii="Arial" w:hAnsi="Arial" w:cs="Arial"/>
          <w:bCs/>
          <w:sz w:val="20"/>
          <w:szCs w:val="20"/>
        </w:rPr>
      </w:pPr>
      <w:r w:rsidRPr="007E3408">
        <w:rPr>
          <w:rFonts w:ascii="Arial" w:hAnsi="Arial" w:cs="Arial"/>
          <w:b/>
          <w:bCs/>
          <w:sz w:val="20"/>
          <w:szCs w:val="20"/>
        </w:rPr>
        <w:t>SESC Goes Beyond Endpoint Protection and EDR – Full Protection, Great ROI with One Solution.</w:t>
      </w:r>
    </w:p>
    <w:p w14:paraId="649A7E09" w14:textId="4E65F172" w:rsidR="00B21C0B" w:rsidRPr="007E3408" w:rsidRDefault="005C741D" w:rsidP="002116B0">
      <w:pPr>
        <w:spacing w:after="0"/>
        <w:rPr>
          <w:rFonts w:ascii="Arial" w:hAnsi="Arial" w:cs="Arial"/>
          <w:bCs/>
          <w:sz w:val="20"/>
          <w:szCs w:val="20"/>
        </w:rPr>
      </w:pPr>
      <w:r w:rsidRPr="007E3408">
        <w:rPr>
          <w:rFonts w:ascii="Arial" w:hAnsi="Arial" w:cs="Arial"/>
          <w:bCs/>
          <w:sz w:val="20"/>
          <w:szCs w:val="20"/>
        </w:rPr>
        <w:t>Symantec Endpoint Security Complete is a comprehensive solution that includes all the technologies organizations need for full protection against common security blind spots. It goes beyond endpoint protection and EDR. It includes ‘Behavior Isolation’ to block dangerous app behaviors. It provides ‘Active Directory Defense’ to prevent attacks on the Active Directory. It also offers ‘Threat Hunter’ bringing actionable global threat intelligence from Symantec advanced machine learning and expert security analysts.</w:t>
      </w:r>
      <w:r w:rsidR="00DF3F5D" w:rsidRPr="007E3408">
        <w:rPr>
          <w:rFonts w:ascii="Arial" w:hAnsi="Arial" w:cs="Arial"/>
          <w:bCs/>
          <w:sz w:val="20"/>
          <w:szCs w:val="20"/>
        </w:rPr>
        <w:t xml:space="preserve"> </w:t>
      </w:r>
    </w:p>
    <w:p w14:paraId="1A40CBC9" w14:textId="77777777" w:rsidR="00B21C0B" w:rsidRPr="007E3408" w:rsidRDefault="00B21C0B" w:rsidP="002116B0">
      <w:pPr>
        <w:spacing w:after="0"/>
        <w:rPr>
          <w:rFonts w:ascii="Arial" w:hAnsi="Arial" w:cs="Arial"/>
          <w:bCs/>
          <w:sz w:val="20"/>
          <w:szCs w:val="20"/>
        </w:rPr>
      </w:pPr>
    </w:p>
    <w:p w14:paraId="0E5A05EE" w14:textId="28CA63BC" w:rsidR="005C741D" w:rsidRPr="00F20AD2" w:rsidRDefault="00DF3F5D" w:rsidP="00F20AD2">
      <w:pPr>
        <w:spacing w:after="0"/>
        <w:rPr>
          <w:rFonts w:ascii="Arial" w:hAnsi="Arial" w:cs="Arial"/>
          <w:bCs/>
          <w:sz w:val="20"/>
          <w:szCs w:val="20"/>
        </w:rPr>
      </w:pPr>
      <w:r w:rsidRPr="007E3408">
        <w:rPr>
          <w:rFonts w:ascii="Arial" w:hAnsi="Arial" w:cs="Arial"/>
          <w:bCs/>
          <w:sz w:val="20"/>
          <w:szCs w:val="20"/>
        </w:rPr>
        <w:t>SESC eliminates all blind spots and cost</w:t>
      </w:r>
      <w:r w:rsidR="00F20AD2" w:rsidRPr="007E3408">
        <w:rPr>
          <w:rFonts w:ascii="Arial" w:hAnsi="Arial" w:cs="Arial"/>
          <w:bCs/>
          <w:sz w:val="20"/>
          <w:szCs w:val="20"/>
        </w:rPr>
        <w:t>s</w:t>
      </w:r>
      <w:r w:rsidRPr="007E3408">
        <w:rPr>
          <w:rFonts w:ascii="Arial" w:hAnsi="Arial" w:cs="Arial"/>
          <w:bCs/>
          <w:sz w:val="20"/>
          <w:szCs w:val="20"/>
        </w:rPr>
        <w:t xml:space="preserve"> of breaches, addresses threats across the entire attack chain, protects all devices and key operating systems, supports hybrid </w:t>
      </w:r>
      <w:r w:rsidR="00532AEE" w:rsidRPr="007E3408">
        <w:rPr>
          <w:rFonts w:ascii="Arial" w:hAnsi="Arial" w:cs="Arial"/>
          <w:bCs/>
          <w:sz w:val="20"/>
          <w:szCs w:val="20"/>
        </w:rPr>
        <w:t>environments, delivers low TCO due to single agent/single console,</w:t>
      </w:r>
      <w:r w:rsidR="00F20AD2" w:rsidRPr="007E3408">
        <w:rPr>
          <w:rFonts w:ascii="Arial" w:hAnsi="Arial" w:cs="Arial"/>
          <w:bCs/>
          <w:sz w:val="20"/>
          <w:szCs w:val="20"/>
        </w:rPr>
        <w:t xml:space="preserve"> and achieves highest ROI with many innovative security layers all in one.</w:t>
      </w:r>
      <w:r w:rsidR="00125981">
        <w:rPr>
          <w:rFonts w:ascii="Arial" w:hAnsi="Arial" w:cs="Arial"/>
          <w:bCs/>
          <w:sz w:val="20"/>
          <w:szCs w:val="20"/>
        </w:rPr>
        <w:t xml:space="preserve"> </w:t>
      </w:r>
      <w:r w:rsidR="005C741D" w:rsidRPr="00831E8E">
        <w:rPr>
          <w:bCs/>
        </w:rPr>
        <w:br w:type="page"/>
      </w:r>
    </w:p>
    <w:p w14:paraId="07724188" w14:textId="2226C84B" w:rsidR="00831E8E" w:rsidRPr="002F7CCF" w:rsidRDefault="00294391">
      <w:pPr>
        <w:rPr>
          <w:rFonts w:ascii="Arial" w:hAnsi="Arial" w:cs="Arial"/>
          <w:b/>
          <w:bCs/>
          <w:color w:val="A6192E"/>
          <w:sz w:val="24"/>
          <w:szCs w:val="24"/>
        </w:rPr>
      </w:pPr>
      <w:r w:rsidRPr="002F7CCF">
        <w:rPr>
          <w:rFonts w:ascii="Arial" w:hAnsi="Arial" w:cs="Arial"/>
          <w:b/>
          <w:bCs/>
          <w:color w:val="A6192E"/>
          <w:sz w:val="24"/>
          <w:szCs w:val="24"/>
        </w:rPr>
        <w:lastRenderedPageBreak/>
        <w:t>Protecting Against Endpoint Security Blind Spots</w:t>
      </w:r>
      <w:r w:rsidR="00831E8E" w:rsidRPr="002F7CCF">
        <w:rPr>
          <w:rFonts w:ascii="Arial" w:hAnsi="Arial" w:cs="Arial"/>
          <w:b/>
          <w:bCs/>
          <w:color w:val="A6192E"/>
          <w:sz w:val="24"/>
          <w:szCs w:val="24"/>
        </w:rPr>
        <w:t xml:space="preserve"> </w:t>
      </w:r>
      <w:r w:rsidR="00F20AD2" w:rsidRPr="002F7CCF">
        <w:rPr>
          <w:rFonts w:ascii="Arial" w:hAnsi="Arial" w:cs="Arial"/>
          <w:b/>
          <w:bCs/>
          <w:color w:val="A6192E"/>
          <w:sz w:val="24"/>
          <w:szCs w:val="24"/>
        </w:rPr>
        <w:t xml:space="preserve">– </w:t>
      </w:r>
      <w:r w:rsidR="00831E8E" w:rsidRPr="002F7CCF">
        <w:rPr>
          <w:rFonts w:ascii="Arial" w:hAnsi="Arial" w:cs="Arial"/>
          <w:b/>
          <w:bCs/>
          <w:color w:val="A6192E"/>
          <w:sz w:val="24"/>
          <w:szCs w:val="24"/>
        </w:rPr>
        <w:t>Available Assets</w:t>
      </w:r>
    </w:p>
    <w:tbl>
      <w:tblPr>
        <w:tblStyle w:val="TableGrid"/>
        <w:tblpPr w:leftFromText="180" w:rightFromText="180" w:tblpY="485"/>
        <w:tblW w:w="0" w:type="auto"/>
        <w:tblBorders>
          <w:left w:val="none" w:sz="0" w:space="0" w:color="auto"/>
          <w:right w:val="none" w:sz="0" w:space="0" w:color="auto"/>
          <w:insideV w:val="none" w:sz="0" w:space="0" w:color="auto"/>
        </w:tblBorders>
        <w:tblLook w:val="04A0" w:firstRow="1" w:lastRow="0" w:firstColumn="1" w:lastColumn="0" w:noHBand="0" w:noVBand="1"/>
      </w:tblPr>
      <w:tblGrid>
        <w:gridCol w:w="1980"/>
        <w:gridCol w:w="1559"/>
        <w:gridCol w:w="5477"/>
      </w:tblGrid>
      <w:tr w:rsidR="00831E8E" w:rsidRPr="00831E8E" w14:paraId="26449005" w14:textId="77777777" w:rsidTr="00805211">
        <w:tc>
          <w:tcPr>
            <w:tcW w:w="1980" w:type="dxa"/>
            <w:tcBorders>
              <w:bottom w:val="single" w:sz="4" w:space="0" w:color="auto"/>
            </w:tcBorders>
            <w:shd w:val="clear" w:color="auto" w:fill="D1042F"/>
          </w:tcPr>
          <w:p w14:paraId="1FD1F0B6" w14:textId="66D6B785" w:rsidR="00831E8E" w:rsidRPr="00EB0436" w:rsidRDefault="00831E8E" w:rsidP="00831E8E">
            <w:pPr>
              <w:rPr>
                <w:rFonts w:ascii="Arial" w:hAnsi="Arial" w:cs="Arial"/>
                <w:b/>
                <w:bCs/>
                <w:color w:val="FFFFFF" w:themeColor="background1"/>
                <w:sz w:val="18"/>
                <w:szCs w:val="18"/>
              </w:rPr>
            </w:pPr>
            <w:r w:rsidRPr="00EB0436">
              <w:rPr>
                <w:rFonts w:ascii="Arial" w:hAnsi="Arial" w:cs="Arial"/>
                <w:b/>
                <w:bCs/>
                <w:color w:val="FFFFFF" w:themeColor="background1"/>
                <w:sz w:val="18"/>
                <w:szCs w:val="18"/>
              </w:rPr>
              <w:t>Title</w:t>
            </w:r>
          </w:p>
        </w:tc>
        <w:tc>
          <w:tcPr>
            <w:tcW w:w="1559" w:type="dxa"/>
            <w:tcBorders>
              <w:bottom w:val="single" w:sz="4" w:space="0" w:color="auto"/>
            </w:tcBorders>
            <w:shd w:val="clear" w:color="auto" w:fill="D1042F"/>
          </w:tcPr>
          <w:p w14:paraId="540C4B4F" w14:textId="564B4B8C" w:rsidR="00831E8E" w:rsidRPr="00EB0436" w:rsidRDefault="00831E8E" w:rsidP="00831E8E">
            <w:pPr>
              <w:rPr>
                <w:rFonts w:ascii="Arial" w:hAnsi="Arial" w:cs="Arial"/>
                <w:b/>
                <w:bCs/>
                <w:color w:val="FFFFFF" w:themeColor="background1"/>
                <w:sz w:val="18"/>
                <w:szCs w:val="18"/>
              </w:rPr>
            </w:pPr>
            <w:r w:rsidRPr="00EB0436">
              <w:rPr>
                <w:rFonts w:ascii="Arial" w:hAnsi="Arial" w:cs="Arial"/>
                <w:b/>
                <w:bCs/>
                <w:color w:val="FFFFFF" w:themeColor="background1"/>
                <w:sz w:val="18"/>
                <w:szCs w:val="18"/>
              </w:rPr>
              <w:t>Type</w:t>
            </w:r>
          </w:p>
        </w:tc>
        <w:tc>
          <w:tcPr>
            <w:tcW w:w="5477" w:type="dxa"/>
            <w:tcBorders>
              <w:bottom w:val="single" w:sz="4" w:space="0" w:color="auto"/>
            </w:tcBorders>
            <w:shd w:val="clear" w:color="auto" w:fill="D1042F"/>
          </w:tcPr>
          <w:p w14:paraId="76B203B1" w14:textId="219E18B9" w:rsidR="00831E8E" w:rsidRPr="00EB0436" w:rsidRDefault="00831E8E" w:rsidP="00831E8E">
            <w:pPr>
              <w:rPr>
                <w:rFonts w:ascii="Arial" w:hAnsi="Arial" w:cs="Arial"/>
                <w:b/>
                <w:bCs/>
                <w:color w:val="FFFFFF" w:themeColor="background1"/>
                <w:sz w:val="18"/>
                <w:szCs w:val="18"/>
              </w:rPr>
            </w:pPr>
            <w:r w:rsidRPr="00EB0436">
              <w:rPr>
                <w:rFonts w:ascii="Arial" w:hAnsi="Arial" w:cs="Arial"/>
                <w:b/>
                <w:bCs/>
                <w:color w:val="FFFFFF" w:themeColor="background1"/>
                <w:sz w:val="18"/>
                <w:szCs w:val="18"/>
              </w:rPr>
              <w:t>How This Can Help</w:t>
            </w:r>
          </w:p>
        </w:tc>
      </w:tr>
      <w:tr w:rsidR="00EB0436" w:rsidRPr="00831E8E" w14:paraId="6B425AB7" w14:textId="77777777" w:rsidTr="00805211">
        <w:tc>
          <w:tcPr>
            <w:tcW w:w="9016" w:type="dxa"/>
            <w:gridSpan w:val="3"/>
            <w:shd w:val="clear" w:color="auto" w:fill="E7E6E6" w:themeFill="background2"/>
          </w:tcPr>
          <w:p w14:paraId="6F67154A" w14:textId="77777777" w:rsidR="00805211" w:rsidRDefault="00805211" w:rsidP="00805211">
            <w:pPr>
              <w:rPr>
                <w:rFonts w:ascii="Arial" w:hAnsi="Arial" w:cs="Arial"/>
                <w:b/>
                <w:bCs/>
                <w:color w:val="000000"/>
                <w:sz w:val="18"/>
                <w:szCs w:val="18"/>
              </w:rPr>
            </w:pPr>
          </w:p>
          <w:p w14:paraId="2F4AFFC1" w14:textId="677ADC6C" w:rsidR="00EB0436" w:rsidRPr="00EB0436" w:rsidRDefault="00EB0436" w:rsidP="00EB0436">
            <w:pPr>
              <w:spacing w:line="360" w:lineRule="auto"/>
              <w:rPr>
                <w:rFonts w:ascii="Arial" w:hAnsi="Arial" w:cs="Arial"/>
                <w:bCs/>
                <w:color w:val="000000"/>
                <w:sz w:val="18"/>
                <w:szCs w:val="18"/>
                <w:highlight w:val="yellow"/>
              </w:rPr>
            </w:pPr>
            <w:r w:rsidRPr="00EB0436">
              <w:rPr>
                <w:rFonts w:ascii="Arial" w:hAnsi="Arial" w:cs="Arial"/>
                <w:b/>
                <w:bCs/>
                <w:color w:val="000000"/>
                <w:sz w:val="18"/>
                <w:szCs w:val="18"/>
              </w:rPr>
              <w:t>Endpoint Security Blind Spots</w:t>
            </w:r>
          </w:p>
        </w:tc>
      </w:tr>
      <w:tr w:rsidR="00831E8E" w:rsidRPr="007E3408" w14:paraId="5C8CADCC" w14:textId="77777777" w:rsidTr="00946CA0">
        <w:tc>
          <w:tcPr>
            <w:tcW w:w="1980" w:type="dxa"/>
          </w:tcPr>
          <w:p w14:paraId="49272309" w14:textId="77777777" w:rsidR="00831E8E" w:rsidRPr="007E3408" w:rsidRDefault="00107EB4" w:rsidP="00831E8E">
            <w:pPr>
              <w:rPr>
                <w:rFonts w:ascii="Arial" w:hAnsi="Arial" w:cs="Arial"/>
                <w:bCs/>
                <w:color w:val="4472C4" w:themeColor="accent1"/>
                <w:sz w:val="18"/>
                <w:szCs w:val="18"/>
                <w:u w:val="single"/>
              </w:rPr>
            </w:pPr>
            <w:hyperlink r:id="rId17" w:history="1">
              <w:r w:rsidR="00831E8E" w:rsidRPr="007E3408">
                <w:rPr>
                  <w:rStyle w:val="Hyperlink"/>
                  <w:rFonts w:cs="Arial"/>
                  <w:bCs/>
                  <w:color w:val="4472C4" w:themeColor="accent1"/>
                  <w:sz w:val="18"/>
                  <w:szCs w:val="18"/>
                  <w:u w:val="single"/>
                </w:rPr>
                <w:t>Can You See Your Security Blind Spots?</w:t>
              </w:r>
            </w:hyperlink>
          </w:p>
          <w:p w14:paraId="7D77E216" w14:textId="77777777" w:rsidR="00831E8E" w:rsidRPr="007E3408" w:rsidRDefault="00831E8E" w:rsidP="00831E8E">
            <w:pPr>
              <w:rPr>
                <w:rFonts w:ascii="Arial" w:hAnsi="Arial" w:cs="Arial"/>
                <w:b/>
                <w:bCs/>
                <w:color w:val="4472C4" w:themeColor="accent1"/>
                <w:sz w:val="18"/>
                <w:szCs w:val="18"/>
              </w:rPr>
            </w:pPr>
          </w:p>
          <w:p w14:paraId="2F55C6E4" w14:textId="77777777" w:rsidR="00831E8E" w:rsidRPr="007E3408" w:rsidRDefault="00831E8E" w:rsidP="00831E8E">
            <w:pPr>
              <w:rPr>
                <w:rFonts w:ascii="Arial" w:hAnsi="Arial" w:cs="Arial"/>
                <w:b/>
                <w:bCs/>
                <w:color w:val="4472C4" w:themeColor="accent1"/>
                <w:sz w:val="18"/>
                <w:szCs w:val="18"/>
              </w:rPr>
            </w:pPr>
          </w:p>
        </w:tc>
        <w:tc>
          <w:tcPr>
            <w:tcW w:w="1559" w:type="dxa"/>
          </w:tcPr>
          <w:p w14:paraId="08BBDFB7" w14:textId="0931CBB6" w:rsidR="00831E8E" w:rsidRPr="007E3408" w:rsidRDefault="00831E8E" w:rsidP="00831E8E">
            <w:pPr>
              <w:rPr>
                <w:rFonts w:ascii="Arial" w:hAnsi="Arial" w:cs="Arial"/>
                <w:b/>
                <w:bCs/>
                <w:sz w:val="18"/>
                <w:szCs w:val="18"/>
              </w:rPr>
            </w:pPr>
            <w:r w:rsidRPr="007E3408">
              <w:rPr>
                <w:rFonts w:ascii="Arial" w:hAnsi="Arial" w:cs="Arial"/>
                <w:bCs/>
                <w:color w:val="000000"/>
                <w:sz w:val="18"/>
                <w:szCs w:val="18"/>
              </w:rPr>
              <w:t>Video</w:t>
            </w:r>
            <w:r w:rsidR="00185C07">
              <w:rPr>
                <w:rFonts w:ascii="Arial" w:hAnsi="Arial" w:cs="Arial"/>
                <w:bCs/>
                <w:color w:val="000000"/>
                <w:sz w:val="18"/>
                <w:szCs w:val="18"/>
              </w:rPr>
              <w:t xml:space="preserve"> </w:t>
            </w:r>
            <w:r w:rsidR="00185C07" w:rsidRPr="005D372C">
              <w:rPr>
                <w:rFonts w:ascii="Arial" w:hAnsi="Arial" w:cs="Arial"/>
                <w:bCs/>
                <w:i/>
                <w:color w:val="C00000"/>
                <w:sz w:val="18"/>
                <w:szCs w:val="18"/>
              </w:rPr>
              <w:t>(CTA)</w:t>
            </w:r>
          </w:p>
        </w:tc>
        <w:tc>
          <w:tcPr>
            <w:tcW w:w="5477" w:type="dxa"/>
          </w:tcPr>
          <w:p w14:paraId="0047C6A3" w14:textId="77777777" w:rsidR="00831E8E" w:rsidRPr="007E3408" w:rsidRDefault="00831E8E" w:rsidP="00831E8E">
            <w:pPr>
              <w:rPr>
                <w:rFonts w:ascii="Arial" w:hAnsi="Arial" w:cs="Arial"/>
                <w:b/>
                <w:bCs/>
                <w:color w:val="000000"/>
                <w:sz w:val="18"/>
                <w:szCs w:val="18"/>
              </w:rPr>
            </w:pPr>
            <w:r w:rsidRPr="007E3408">
              <w:rPr>
                <w:rFonts w:ascii="Arial" w:hAnsi="Arial" w:cs="Arial"/>
                <w:bCs/>
                <w:color w:val="000000"/>
                <w:sz w:val="18"/>
                <w:szCs w:val="18"/>
              </w:rPr>
              <w:t xml:space="preserve">Help your customers stay </w:t>
            </w:r>
            <w:proofErr w:type="gramStart"/>
            <w:r w:rsidRPr="007E3408">
              <w:rPr>
                <w:rFonts w:ascii="Arial" w:hAnsi="Arial" w:cs="Arial"/>
                <w:bCs/>
                <w:color w:val="000000"/>
                <w:sz w:val="18"/>
                <w:szCs w:val="18"/>
              </w:rPr>
              <w:t>one step</w:t>
            </w:r>
            <w:proofErr w:type="gramEnd"/>
            <w:r w:rsidRPr="007E3408">
              <w:rPr>
                <w:rFonts w:ascii="Arial" w:hAnsi="Arial" w:cs="Arial"/>
                <w:bCs/>
                <w:color w:val="000000"/>
                <w:sz w:val="18"/>
                <w:szCs w:val="18"/>
              </w:rPr>
              <w:t xml:space="preserve"> ahead of sophisticated attackers who are trying to bypass the most sophisticated security such as </w:t>
            </w:r>
            <w:r w:rsidRPr="007E3408">
              <w:rPr>
                <w:rFonts w:ascii="Arial" w:hAnsi="Arial" w:cs="Arial"/>
                <w:bCs/>
                <w:sz w:val="18"/>
                <w:szCs w:val="18"/>
                <w:shd w:val="clear" w:color="auto" w:fill="FFFFFF"/>
              </w:rPr>
              <w:t>Endpoint Protection, Endpoint Detection and Response solutions</w:t>
            </w:r>
            <w:r w:rsidRPr="007E3408">
              <w:rPr>
                <w:rFonts w:ascii="Arial" w:hAnsi="Arial" w:cs="Arial"/>
                <w:bCs/>
                <w:color w:val="000000"/>
                <w:sz w:val="18"/>
                <w:szCs w:val="18"/>
              </w:rPr>
              <w:t>. These attackers are taking advantage of what security teams cannot see – their blind spots. The video explains why and how SESC can help protect these blind spots.</w:t>
            </w:r>
          </w:p>
          <w:p w14:paraId="2A821C84" w14:textId="77777777" w:rsidR="00831E8E" w:rsidRPr="007E3408" w:rsidRDefault="00831E8E" w:rsidP="00831E8E">
            <w:pPr>
              <w:rPr>
                <w:rFonts w:ascii="Arial" w:hAnsi="Arial" w:cs="Arial"/>
                <w:b/>
                <w:bCs/>
                <w:sz w:val="18"/>
                <w:szCs w:val="18"/>
              </w:rPr>
            </w:pPr>
          </w:p>
        </w:tc>
      </w:tr>
      <w:tr w:rsidR="0049340C" w:rsidRPr="007E3408" w14:paraId="173A1D09" w14:textId="77777777" w:rsidTr="00946CA0">
        <w:tc>
          <w:tcPr>
            <w:tcW w:w="1980" w:type="dxa"/>
          </w:tcPr>
          <w:p w14:paraId="5C1E3D67" w14:textId="148E5549" w:rsidR="0049340C" w:rsidRPr="005A608A" w:rsidRDefault="00107EB4" w:rsidP="00831E8E">
            <w:pPr>
              <w:rPr>
                <w:rStyle w:val="Hyperlink"/>
                <w:rFonts w:cs="Arial"/>
                <w:bCs/>
                <w:color w:val="4472C4" w:themeColor="accent1"/>
                <w:sz w:val="18"/>
                <w:szCs w:val="18"/>
                <w:u w:val="single"/>
              </w:rPr>
            </w:pPr>
            <w:hyperlink r:id="rId18" w:history="1">
              <w:r w:rsidR="0049340C" w:rsidRPr="005A608A">
                <w:rPr>
                  <w:rStyle w:val="Hyperlink"/>
                  <w:rFonts w:cs="Arial"/>
                  <w:bCs/>
                  <w:color w:val="4472C4" w:themeColor="accent1"/>
                  <w:sz w:val="18"/>
                  <w:szCs w:val="18"/>
                  <w:u w:val="single"/>
                </w:rPr>
                <w:t>Do Blind Spots Leave You Exposed?</w:t>
              </w:r>
            </w:hyperlink>
          </w:p>
          <w:p w14:paraId="1AE06DF7" w14:textId="1FF02DEA" w:rsidR="0049340C" w:rsidRPr="007E3408" w:rsidRDefault="0049340C" w:rsidP="00831E8E"/>
        </w:tc>
        <w:tc>
          <w:tcPr>
            <w:tcW w:w="1559" w:type="dxa"/>
          </w:tcPr>
          <w:p w14:paraId="7C682F0E" w14:textId="5FBA6899" w:rsidR="0049340C" w:rsidRPr="007E3408" w:rsidRDefault="0049340C" w:rsidP="00831E8E">
            <w:pPr>
              <w:rPr>
                <w:rFonts w:ascii="Arial" w:hAnsi="Arial" w:cs="Arial"/>
                <w:bCs/>
                <w:color w:val="000000"/>
                <w:sz w:val="18"/>
                <w:szCs w:val="18"/>
              </w:rPr>
            </w:pPr>
            <w:r w:rsidRPr="007E3408">
              <w:rPr>
                <w:rFonts w:ascii="Arial" w:hAnsi="Arial" w:cs="Arial"/>
                <w:bCs/>
                <w:color w:val="000000"/>
                <w:sz w:val="18"/>
                <w:szCs w:val="18"/>
              </w:rPr>
              <w:t>Campaign Resources Landing Page</w:t>
            </w:r>
          </w:p>
          <w:p w14:paraId="2EE74B0A" w14:textId="41628A80" w:rsidR="0049340C" w:rsidRPr="007E3408" w:rsidRDefault="0049340C" w:rsidP="00831E8E">
            <w:pPr>
              <w:rPr>
                <w:rFonts w:ascii="Arial" w:hAnsi="Arial" w:cs="Arial"/>
                <w:bCs/>
                <w:color w:val="000000"/>
                <w:sz w:val="18"/>
                <w:szCs w:val="18"/>
              </w:rPr>
            </w:pPr>
          </w:p>
        </w:tc>
        <w:tc>
          <w:tcPr>
            <w:tcW w:w="5477" w:type="dxa"/>
          </w:tcPr>
          <w:p w14:paraId="7A367BD9" w14:textId="22041466" w:rsidR="0049340C" w:rsidRPr="005A608A" w:rsidRDefault="005427CD" w:rsidP="00831E8E">
            <w:pPr>
              <w:rPr>
                <w:rFonts w:ascii="Arial" w:hAnsi="Arial" w:cs="Arial"/>
                <w:bCs/>
                <w:color w:val="000000"/>
                <w:sz w:val="18"/>
                <w:szCs w:val="18"/>
              </w:rPr>
            </w:pPr>
            <w:r w:rsidRPr="007E3408">
              <w:rPr>
                <w:rFonts w:ascii="Arial" w:hAnsi="Arial" w:cs="Arial"/>
                <w:bCs/>
                <w:color w:val="000000"/>
                <w:sz w:val="18"/>
                <w:szCs w:val="18"/>
              </w:rPr>
              <w:t xml:space="preserve">Focus on the three Blind Spots: </w:t>
            </w:r>
            <w:r w:rsidRPr="007E3408">
              <w:rPr>
                <w:rFonts w:ascii="Arial" w:hAnsi="Arial" w:cs="Arial"/>
                <w:bCs/>
                <w:i/>
                <w:color w:val="000000"/>
                <w:sz w:val="18"/>
                <w:szCs w:val="18"/>
              </w:rPr>
              <w:t>Living-off-the-Land, Unprotected Active Directory and Late Breach Discovery</w:t>
            </w:r>
            <w:r w:rsidR="005A608A">
              <w:rPr>
                <w:rFonts w:ascii="Arial" w:hAnsi="Arial" w:cs="Arial"/>
                <w:bCs/>
                <w:i/>
                <w:color w:val="000000"/>
                <w:sz w:val="18"/>
                <w:szCs w:val="18"/>
              </w:rPr>
              <w:t>.</w:t>
            </w:r>
            <w:r w:rsidR="005A608A">
              <w:rPr>
                <w:rFonts w:ascii="Arial" w:hAnsi="Arial" w:cs="Arial"/>
                <w:bCs/>
                <w:color w:val="000000"/>
                <w:sz w:val="18"/>
                <w:szCs w:val="18"/>
              </w:rPr>
              <w:t xml:space="preserve"> Provided CTAs Behavior Isolation, AD Directory Security &amp; Threat Hunter.</w:t>
            </w:r>
          </w:p>
        </w:tc>
      </w:tr>
      <w:tr w:rsidR="00EB0436" w:rsidRPr="007E3408" w14:paraId="03C7755A" w14:textId="77777777" w:rsidTr="00946CA0">
        <w:tc>
          <w:tcPr>
            <w:tcW w:w="1980" w:type="dxa"/>
          </w:tcPr>
          <w:p w14:paraId="7FDAA77F" w14:textId="77777777" w:rsidR="00EB0436" w:rsidRPr="007E3408" w:rsidRDefault="00107EB4" w:rsidP="00EB0436">
            <w:pPr>
              <w:rPr>
                <w:rStyle w:val="Hyperlink"/>
                <w:rFonts w:cs="Arial"/>
                <w:b/>
                <w:bCs/>
                <w:color w:val="4472C4" w:themeColor="accent1"/>
                <w:sz w:val="18"/>
                <w:szCs w:val="18"/>
                <w:u w:val="single"/>
              </w:rPr>
            </w:pPr>
            <w:hyperlink r:id="rId19" w:history="1">
              <w:r w:rsidR="00EB0436" w:rsidRPr="007E3408">
                <w:rPr>
                  <w:rStyle w:val="Hyperlink"/>
                  <w:rFonts w:cs="Arial"/>
                  <w:bCs/>
                  <w:color w:val="4472C4" w:themeColor="accent1"/>
                  <w:sz w:val="18"/>
                  <w:szCs w:val="18"/>
                  <w:u w:val="single"/>
                </w:rPr>
                <w:t>Endpoint Security: Eliminating Your Protection Blind Spots</w:t>
              </w:r>
              <w:r w:rsidR="00EB0436" w:rsidRPr="007E3408">
                <w:rPr>
                  <w:rStyle w:val="Hyperlink"/>
                  <w:rFonts w:cs="Arial"/>
                  <w:b/>
                  <w:bCs/>
                  <w:color w:val="4472C4" w:themeColor="accent1"/>
                  <w:sz w:val="18"/>
                  <w:szCs w:val="18"/>
                  <w:u w:val="single"/>
                </w:rPr>
                <w:t xml:space="preserve"> </w:t>
              </w:r>
              <w:r w:rsidR="00EB0436" w:rsidRPr="007E3408">
                <w:rPr>
                  <w:rStyle w:val="Hyperlink"/>
                  <w:rFonts w:cs="Arial"/>
                  <w:bCs/>
                  <w:color w:val="4472C4" w:themeColor="accent1"/>
                  <w:sz w:val="18"/>
                  <w:szCs w:val="18"/>
                  <w:u w:val="single"/>
                </w:rPr>
                <w:t>– Catalyst Conference 2020 Recording</w:t>
              </w:r>
            </w:hyperlink>
          </w:p>
          <w:p w14:paraId="76E931A9" w14:textId="77777777" w:rsidR="00EB0436" w:rsidRPr="007E3408" w:rsidRDefault="00EB0436" w:rsidP="00EB0436"/>
        </w:tc>
        <w:tc>
          <w:tcPr>
            <w:tcW w:w="1559" w:type="dxa"/>
          </w:tcPr>
          <w:p w14:paraId="6B23108F" w14:textId="0325B3E7" w:rsidR="00EB0436" w:rsidRPr="007E3408" w:rsidRDefault="00EB0436" w:rsidP="00EB0436">
            <w:pPr>
              <w:rPr>
                <w:rFonts w:ascii="Arial" w:hAnsi="Arial" w:cs="Arial"/>
                <w:bCs/>
                <w:color w:val="000000"/>
                <w:sz w:val="18"/>
                <w:szCs w:val="18"/>
              </w:rPr>
            </w:pPr>
            <w:r w:rsidRPr="007E3408">
              <w:rPr>
                <w:rFonts w:ascii="Arial" w:hAnsi="Arial" w:cs="Arial"/>
                <w:bCs/>
                <w:color w:val="000000"/>
                <w:sz w:val="18"/>
                <w:szCs w:val="18"/>
              </w:rPr>
              <w:t>Recording</w:t>
            </w:r>
            <w:r w:rsidR="00E0215B">
              <w:rPr>
                <w:rFonts w:ascii="Arial" w:hAnsi="Arial" w:cs="Arial"/>
                <w:bCs/>
                <w:color w:val="000000"/>
                <w:sz w:val="18"/>
                <w:szCs w:val="18"/>
              </w:rPr>
              <w:t xml:space="preserve"> </w:t>
            </w:r>
            <w:r w:rsidR="00E0215B" w:rsidRPr="00E0215B">
              <w:rPr>
                <w:rFonts w:ascii="Arial" w:hAnsi="Arial" w:cs="Arial"/>
                <w:bCs/>
                <w:i/>
                <w:color w:val="C00000"/>
                <w:sz w:val="18"/>
                <w:szCs w:val="18"/>
              </w:rPr>
              <w:t>(CTA)</w:t>
            </w:r>
          </w:p>
        </w:tc>
        <w:tc>
          <w:tcPr>
            <w:tcW w:w="5477" w:type="dxa"/>
          </w:tcPr>
          <w:p w14:paraId="3B3F3B01" w14:textId="024C5E09" w:rsidR="00EB0436" w:rsidRPr="007E3408" w:rsidRDefault="00EB0436" w:rsidP="00472035">
            <w:pPr>
              <w:rPr>
                <w:rFonts w:ascii="Arial" w:hAnsi="Arial" w:cs="Arial"/>
                <w:bCs/>
                <w:color w:val="000000"/>
                <w:sz w:val="18"/>
                <w:szCs w:val="18"/>
              </w:rPr>
            </w:pPr>
            <w:r w:rsidRPr="007E3408">
              <w:rPr>
                <w:rFonts w:ascii="Arial" w:hAnsi="Arial" w:cs="Arial"/>
                <w:bCs/>
                <w:color w:val="000000"/>
                <w:sz w:val="18"/>
                <w:szCs w:val="18"/>
              </w:rPr>
              <w:t>Typical endpoint security solutions can leave you with protection blind spots. Learn how Symantec Endpoint Security eliminates those blind spots across your environment.</w:t>
            </w:r>
            <w:r w:rsidR="00472035">
              <w:rPr>
                <w:rFonts w:ascii="Arial" w:hAnsi="Arial" w:cs="Arial"/>
                <w:bCs/>
                <w:color w:val="000000"/>
                <w:sz w:val="18"/>
                <w:szCs w:val="18"/>
              </w:rPr>
              <w:t xml:space="preserve"> </w:t>
            </w:r>
            <w:r w:rsidR="00472035" w:rsidRPr="00472035">
              <w:rPr>
                <w:rFonts w:ascii="Arial" w:hAnsi="Arial" w:cs="Arial"/>
                <w:bCs/>
                <w:color w:val="000000"/>
                <w:sz w:val="18"/>
                <w:szCs w:val="18"/>
              </w:rPr>
              <w:t>Adam Licata, product manager for Symantec Endpoint Security Complete, presents on three blind spots that exist in most enterprise systems and how to eliminate them.</w:t>
            </w:r>
            <w:r w:rsidR="00472035" w:rsidRPr="00F87091">
              <w:rPr>
                <w:rFonts w:ascii="Arial" w:hAnsi="Arial" w:cs="Arial"/>
                <w:bCs/>
                <w:color w:val="000000" w:themeColor="text1"/>
                <w:sz w:val="20"/>
                <w:szCs w:val="20"/>
              </w:rPr>
              <w:t xml:space="preserve"> </w:t>
            </w:r>
          </w:p>
        </w:tc>
      </w:tr>
      <w:tr w:rsidR="00EB0436" w:rsidRPr="007E3408" w14:paraId="15AF097F" w14:textId="77777777" w:rsidTr="00805211">
        <w:tc>
          <w:tcPr>
            <w:tcW w:w="1980" w:type="dxa"/>
            <w:tcBorders>
              <w:bottom w:val="single" w:sz="4" w:space="0" w:color="auto"/>
            </w:tcBorders>
          </w:tcPr>
          <w:p w14:paraId="37123624" w14:textId="77777777" w:rsidR="00EB0436" w:rsidRPr="007E3408" w:rsidRDefault="00107EB4" w:rsidP="00EB0436">
            <w:pPr>
              <w:rPr>
                <w:rFonts w:ascii="Arial" w:hAnsi="Arial" w:cs="Arial"/>
                <w:b/>
                <w:bCs/>
                <w:color w:val="4472C4" w:themeColor="accent1"/>
                <w:sz w:val="18"/>
                <w:szCs w:val="18"/>
              </w:rPr>
            </w:pPr>
            <w:hyperlink r:id="rId20" w:history="1">
              <w:r w:rsidR="00EB0436" w:rsidRPr="007E3408">
                <w:rPr>
                  <w:rStyle w:val="Hyperlink"/>
                  <w:rFonts w:cs="Arial"/>
                  <w:bCs/>
                  <w:color w:val="4472C4" w:themeColor="accent1"/>
                  <w:sz w:val="18"/>
                  <w:szCs w:val="18"/>
                  <w:u w:val="single"/>
                </w:rPr>
                <w:t>Don’t Let Attackers Exploit Your Blind Spots to Evade Detection</w:t>
              </w:r>
            </w:hyperlink>
          </w:p>
          <w:p w14:paraId="226B68E7" w14:textId="77777777" w:rsidR="00EB0436" w:rsidRPr="007E3408" w:rsidRDefault="00EB0436" w:rsidP="00EB0436"/>
        </w:tc>
        <w:tc>
          <w:tcPr>
            <w:tcW w:w="1559" w:type="dxa"/>
            <w:tcBorders>
              <w:bottom w:val="single" w:sz="4" w:space="0" w:color="auto"/>
            </w:tcBorders>
          </w:tcPr>
          <w:p w14:paraId="0DA42217" w14:textId="50B3CD68" w:rsidR="00EB0436" w:rsidRPr="007E3408" w:rsidRDefault="00EB0436" w:rsidP="00EB0436">
            <w:pPr>
              <w:rPr>
                <w:rFonts w:ascii="Arial" w:hAnsi="Arial" w:cs="Arial"/>
                <w:bCs/>
                <w:color w:val="000000"/>
                <w:sz w:val="18"/>
                <w:szCs w:val="18"/>
              </w:rPr>
            </w:pPr>
            <w:r w:rsidRPr="007E3408">
              <w:rPr>
                <w:rFonts w:ascii="Arial" w:hAnsi="Arial" w:cs="Arial"/>
                <w:bCs/>
                <w:color w:val="000000"/>
                <w:sz w:val="18"/>
                <w:szCs w:val="18"/>
              </w:rPr>
              <w:t>Webcast Recording</w:t>
            </w:r>
          </w:p>
        </w:tc>
        <w:tc>
          <w:tcPr>
            <w:tcW w:w="5477" w:type="dxa"/>
            <w:tcBorders>
              <w:bottom w:val="single" w:sz="4" w:space="0" w:color="auto"/>
            </w:tcBorders>
          </w:tcPr>
          <w:p w14:paraId="6CBC7A5C" w14:textId="1CDBEFD1" w:rsidR="00EB0436" w:rsidRPr="007E3408" w:rsidRDefault="00EB0436" w:rsidP="00EB0436">
            <w:pPr>
              <w:rPr>
                <w:rFonts w:ascii="Arial" w:hAnsi="Arial" w:cs="Arial"/>
                <w:bCs/>
                <w:color w:val="000000"/>
                <w:sz w:val="18"/>
                <w:szCs w:val="18"/>
              </w:rPr>
            </w:pPr>
            <w:r w:rsidRPr="007E3408">
              <w:rPr>
                <w:rFonts w:ascii="Arial" w:hAnsi="Arial" w:cs="Arial"/>
                <w:bCs/>
                <w:color w:val="000000"/>
                <w:sz w:val="18"/>
                <w:szCs w:val="18"/>
              </w:rPr>
              <w:t xml:space="preserve">A webinar discussion on the launch of Symantec Endpoint Security Complete. </w:t>
            </w:r>
          </w:p>
        </w:tc>
      </w:tr>
      <w:tr w:rsidR="00841125" w:rsidRPr="007E3408" w14:paraId="5AD5BBB7" w14:textId="77777777" w:rsidTr="00805211">
        <w:tc>
          <w:tcPr>
            <w:tcW w:w="1980" w:type="dxa"/>
            <w:tcBorders>
              <w:bottom w:val="single" w:sz="4" w:space="0" w:color="auto"/>
            </w:tcBorders>
          </w:tcPr>
          <w:p w14:paraId="10599CFC" w14:textId="5BDD0604" w:rsidR="00841125" w:rsidRPr="00F6127B" w:rsidRDefault="00107EB4" w:rsidP="00283D97">
            <w:pPr>
              <w:rPr>
                <w:rFonts w:ascii="Arial" w:hAnsi="Arial" w:cs="Arial"/>
                <w:b/>
                <w:sz w:val="18"/>
                <w:szCs w:val="18"/>
              </w:rPr>
            </w:pPr>
            <w:hyperlink r:id="rId21" w:history="1">
              <w:r w:rsidR="00F6127B" w:rsidRPr="00F6127B">
                <w:rPr>
                  <w:rStyle w:val="Hyperlink"/>
                  <w:rFonts w:cs="Arial"/>
                  <w:bCs/>
                  <w:color w:val="4472C4" w:themeColor="accent1"/>
                  <w:sz w:val="18"/>
                  <w:szCs w:val="18"/>
                  <w:u w:val="single"/>
                </w:rPr>
                <w:t>Email Nurture</w:t>
              </w:r>
              <w:r w:rsidR="00C711B7">
                <w:rPr>
                  <w:rStyle w:val="Hyperlink"/>
                  <w:rFonts w:cs="Arial"/>
                  <w:bCs/>
                  <w:color w:val="4472C4" w:themeColor="accent1"/>
                  <w:sz w:val="18"/>
                  <w:szCs w:val="18"/>
                  <w:u w:val="single"/>
                </w:rPr>
                <w:t xml:space="preserve"> &amp; Digital/Social </w:t>
              </w:r>
              <w:r w:rsidR="00283D97">
                <w:rPr>
                  <w:rStyle w:val="Hyperlink"/>
                  <w:rFonts w:cs="Arial"/>
                  <w:bCs/>
                  <w:color w:val="4472C4" w:themeColor="accent1"/>
                  <w:sz w:val="18"/>
                  <w:szCs w:val="18"/>
                  <w:u w:val="single"/>
                </w:rPr>
                <w:t>Assets</w:t>
              </w:r>
              <w:r w:rsidR="00F6127B" w:rsidRPr="00F6127B">
                <w:rPr>
                  <w:rStyle w:val="Hyperlink"/>
                  <w:rFonts w:cs="Arial"/>
                  <w:bCs/>
                  <w:color w:val="4472C4" w:themeColor="accent1"/>
                  <w:sz w:val="18"/>
                  <w:szCs w:val="18"/>
                  <w:u w:val="single"/>
                </w:rPr>
                <w:t>)</w:t>
              </w:r>
            </w:hyperlink>
            <w:r w:rsidR="00C40736" w:rsidRPr="00C40736">
              <w:rPr>
                <w:rStyle w:val="Hyperlink"/>
                <w:bCs/>
                <w:color w:val="4472C4" w:themeColor="accent1"/>
              </w:rPr>
              <w:t xml:space="preserve"> </w:t>
            </w:r>
            <w:r w:rsidR="00C40736" w:rsidRPr="00C40736">
              <w:rPr>
                <w:rFonts w:ascii="Arial" w:hAnsi="Arial" w:cs="Arial"/>
                <w:i/>
                <w:color w:val="C00000"/>
                <w:sz w:val="18"/>
                <w:szCs w:val="18"/>
              </w:rPr>
              <w:t>New!</w:t>
            </w:r>
          </w:p>
        </w:tc>
        <w:tc>
          <w:tcPr>
            <w:tcW w:w="1559" w:type="dxa"/>
            <w:tcBorders>
              <w:bottom w:val="single" w:sz="4" w:space="0" w:color="auto"/>
            </w:tcBorders>
          </w:tcPr>
          <w:p w14:paraId="4D11879A" w14:textId="46E83FB2" w:rsidR="00841125" w:rsidRPr="007E3408" w:rsidRDefault="00841125" w:rsidP="00EB0436">
            <w:pPr>
              <w:rPr>
                <w:rFonts w:ascii="Arial" w:hAnsi="Arial" w:cs="Arial"/>
                <w:bCs/>
                <w:color w:val="000000"/>
                <w:sz w:val="18"/>
                <w:szCs w:val="18"/>
              </w:rPr>
            </w:pPr>
            <w:r w:rsidRPr="007E3408">
              <w:rPr>
                <w:rFonts w:ascii="Arial" w:hAnsi="Arial" w:cs="Arial"/>
                <w:bCs/>
                <w:color w:val="000000"/>
                <w:sz w:val="18"/>
                <w:szCs w:val="18"/>
              </w:rPr>
              <w:t xml:space="preserve">Customer </w:t>
            </w:r>
            <w:r w:rsidR="00F6127B">
              <w:rPr>
                <w:rFonts w:ascii="Arial" w:hAnsi="Arial" w:cs="Arial"/>
                <w:bCs/>
                <w:color w:val="000000"/>
                <w:sz w:val="18"/>
                <w:szCs w:val="18"/>
              </w:rPr>
              <w:t>Campaign</w:t>
            </w:r>
          </w:p>
          <w:p w14:paraId="58E82D36" w14:textId="256FCCD3" w:rsidR="00841125" w:rsidRPr="007E3408" w:rsidRDefault="00841125" w:rsidP="00EB0436">
            <w:pPr>
              <w:rPr>
                <w:rFonts w:ascii="Arial" w:hAnsi="Arial" w:cs="Arial"/>
                <w:bCs/>
                <w:color w:val="000000"/>
                <w:sz w:val="18"/>
                <w:szCs w:val="18"/>
              </w:rPr>
            </w:pPr>
          </w:p>
        </w:tc>
        <w:tc>
          <w:tcPr>
            <w:tcW w:w="5477" w:type="dxa"/>
            <w:tcBorders>
              <w:bottom w:val="single" w:sz="4" w:space="0" w:color="auto"/>
            </w:tcBorders>
          </w:tcPr>
          <w:p w14:paraId="5E1B5D43" w14:textId="311B1762" w:rsidR="00F0017C" w:rsidRPr="007E3408" w:rsidRDefault="00C40736" w:rsidP="00F6127B">
            <w:pPr>
              <w:rPr>
                <w:rFonts w:ascii="Arial" w:hAnsi="Arial" w:cs="Arial"/>
                <w:bCs/>
                <w:color w:val="000000"/>
                <w:sz w:val="18"/>
                <w:szCs w:val="18"/>
              </w:rPr>
            </w:pPr>
            <w:r w:rsidRPr="00C40736">
              <w:rPr>
                <w:rFonts w:ascii="Arial" w:hAnsi="Arial" w:cs="Arial"/>
                <w:bCs/>
                <w:color w:val="C00000"/>
                <w:sz w:val="18"/>
                <w:szCs w:val="18"/>
              </w:rPr>
              <w:t xml:space="preserve">New! </w:t>
            </w:r>
            <w:r w:rsidR="00F6127B">
              <w:rPr>
                <w:rFonts w:ascii="Arial" w:hAnsi="Arial" w:cs="Arial"/>
                <w:bCs/>
                <w:color w:val="000000"/>
                <w:sz w:val="18"/>
                <w:szCs w:val="18"/>
              </w:rPr>
              <w:t>5 Emails</w:t>
            </w:r>
            <w:r w:rsidR="00C711B7">
              <w:rPr>
                <w:rFonts w:ascii="Arial" w:hAnsi="Arial" w:cs="Arial"/>
                <w:bCs/>
                <w:color w:val="000000"/>
                <w:sz w:val="18"/>
                <w:szCs w:val="18"/>
              </w:rPr>
              <w:t xml:space="preserve"> &amp; digital/social </w:t>
            </w:r>
            <w:r w:rsidR="00283D97">
              <w:rPr>
                <w:rFonts w:ascii="Arial" w:hAnsi="Arial" w:cs="Arial"/>
                <w:bCs/>
                <w:color w:val="000000"/>
                <w:sz w:val="18"/>
                <w:szCs w:val="18"/>
              </w:rPr>
              <w:t>assets</w:t>
            </w:r>
            <w:r w:rsidR="00F6127B">
              <w:rPr>
                <w:rFonts w:ascii="Arial" w:hAnsi="Arial" w:cs="Arial"/>
                <w:bCs/>
                <w:color w:val="000000"/>
                <w:sz w:val="18"/>
                <w:szCs w:val="18"/>
              </w:rPr>
              <w:t xml:space="preserve"> offering</w:t>
            </w:r>
            <w:r>
              <w:rPr>
                <w:rFonts w:ascii="Arial" w:hAnsi="Arial" w:cs="Arial"/>
                <w:bCs/>
                <w:color w:val="000000"/>
                <w:sz w:val="18"/>
                <w:szCs w:val="18"/>
              </w:rPr>
              <w:t>:</w:t>
            </w:r>
            <w:r w:rsidR="00F6127B">
              <w:rPr>
                <w:rFonts w:ascii="Arial" w:hAnsi="Arial" w:cs="Arial"/>
                <w:bCs/>
                <w:color w:val="000000"/>
                <w:sz w:val="18"/>
                <w:szCs w:val="18"/>
              </w:rPr>
              <w:t xml:space="preserve"> Breach Assessment, SES Infographic, Threat Hunter White Paper, Catalyst Webinar, </w:t>
            </w:r>
            <w:r>
              <w:rPr>
                <w:rFonts w:ascii="Arial" w:hAnsi="Arial" w:cs="Arial"/>
                <w:bCs/>
                <w:color w:val="000000"/>
                <w:sz w:val="18"/>
                <w:szCs w:val="18"/>
              </w:rPr>
              <w:t>SESC Upgrade Guide</w:t>
            </w:r>
          </w:p>
        </w:tc>
      </w:tr>
      <w:tr w:rsidR="00EB0436" w:rsidRPr="007E3408" w14:paraId="21171A4C" w14:textId="77777777" w:rsidTr="00805211">
        <w:tc>
          <w:tcPr>
            <w:tcW w:w="9016" w:type="dxa"/>
            <w:gridSpan w:val="3"/>
            <w:shd w:val="clear" w:color="auto" w:fill="E7E6E6" w:themeFill="background2"/>
          </w:tcPr>
          <w:p w14:paraId="430CDCC7" w14:textId="77777777" w:rsidR="00805211" w:rsidRPr="007E3408" w:rsidRDefault="00805211" w:rsidP="00805211">
            <w:pPr>
              <w:rPr>
                <w:rFonts w:ascii="Arial" w:hAnsi="Arial" w:cs="Arial"/>
                <w:b/>
                <w:bCs/>
                <w:color w:val="000000"/>
                <w:sz w:val="18"/>
                <w:szCs w:val="18"/>
              </w:rPr>
            </w:pPr>
          </w:p>
          <w:p w14:paraId="59475866" w14:textId="60A8B3F6" w:rsidR="00EB0436" w:rsidRPr="007E3408" w:rsidRDefault="00EB0436" w:rsidP="00EB0436">
            <w:pPr>
              <w:spacing w:line="360" w:lineRule="auto"/>
              <w:rPr>
                <w:rFonts w:ascii="Arial" w:hAnsi="Arial" w:cs="Arial"/>
                <w:bCs/>
                <w:color w:val="000000"/>
                <w:sz w:val="18"/>
                <w:szCs w:val="18"/>
              </w:rPr>
            </w:pPr>
            <w:r w:rsidRPr="007E3408">
              <w:rPr>
                <w:rFonts w:ascii="Arial" w:hAnsi="Arial" w:cs="Arial"/>
                <w:b/>
                <w:bCs/>
                <w:color w:val="000000"/>
                <w:sz w:val="18"/>
                <w:szCs w:val="18"/>
              </w:rPr>
              <w:t>Behavior Isolation</w:t>
            </w:r>
          </w:p>
        </w:tc>
      </w:tr>
      <w:tr w:rsidR="00EB0436" w:rsidRPr="007E3408" w14:paraId="6EADC3DD" w14:textId="77777777" w:rsidTr="00946CA0">
        <w:tc>
          <w:tcPr>
            <w:tcW w:w="1980" w:type="dxa"/>
          </w:tcPr>
          <w:p w14:paraId="5C9C0865" w14:textId="7BC94C02" w:rsidR="00EB0436" w:rsidRPr="007E3408" w:rsidRDefault="00107EB4" w:rsidP="00EB0436">
            <w:pPr>
              <w:rPr>
                <w:rFonts w:ascii="Arial" w:hAnsi="Arial" w:cs="Arial"/>
                <w:bCs/>
                <w:color w:val="4472C4" w:themeColor="accent1"/>
                <w:sz w:val="18"/>
                <w:szCs w:val="18"/>
                <w:u w:val="single"/>
              </w:rPr>
            </w:pPr>
            <w:hyperlink r:id="rId22" w:history="1">
              <w:r w:rsidR="00EB0436" w:rsidRPr="007E3408">
                <w:rPr>
                  <w:rStyle w:val="Hyperlink"/>
                  <w:rFonts w:cs="Arial"/>
                  <w:bCs/>
                  <w:color w:val="4472C4" w:themeColor="accent1"/>
                  <w:sz w:val="18"/>
                  <w:szCs w:val="18"/>
                  <w:u w:val="single"/>
                </w:rPr>
                <w:t>B</w:t>
              </w:r>
              <w:r w:rsidR="000D1824" w:rsidRPr="007E3408">
                <w:rPr>
                  <w:rStyle w:val="Hyperlink"/>
                  <w:rFonts w:cs="Arial"/>
                  <w:bCs/>
                  <w:color w:val="4472C4" w:themeColor="accent1"/>
                  <w:sz w:val="18"/>
                  <w:szCs w:val="18"/>
                  <w:u w:val="single"/>
                </w:rPr>
                <w:t>eefing Up Security with B</w:t>
              </w:r>
              <w:r w:rsidR="00EB0436" w:rsidRPr="007E3408">
                <w:rPr>
                  <w:rStyle w:val="Hyperlink"/>
                  <w:rFonts w:cs="Arial"/>
                  <w:bCs/>
                  <w:color w:val="4472C4" w:themeColor="accent1"/>
                  <w:sz w:val="18"/>
                  <w:szCs w:val="18"/>
                  <w:u w:val="single"/>
                </w:rPr>
                <w:t>ehavior Isolation</w:t>
              </w:r>
            </w:hyperlink>
          </w:p>
          <w:p w14:paraId="1BF44DA5" w14:textId="77777777" w:rsidR="00EB0436" w:rsidRPr="007E3408" w:rsidRDefault="00EB0436" w:rsidP="00EB0436">
            <w:pPr>
              <w:rPr>
                <w:rFonts w:ascii="Arial" w:hAnsi="Arial" w:cs="Arial"/>
                <w:b/>
                <w:bCs/>
                <w:color w:val="4472C4" w:themeColor="accent1"/>
                <w:sz w:val="18"/>
                <w:szCs w:val="18"/>
              </w:rPr>
            </w:pPr>
          </w:p>
        </w:tc>
        <w:tc>
          <w:tcPr>
            <w:tcW w:w="1559" w:type="dxa"/>
          </w:tcPr>
          <w:p w14:paraId="065360F4" w14:textId="1BBE5890" w:rsidR="00EB0436" w:rsidRPr="007E3408" w:rsidRDefault="00EB0436" w:rsidP="00EB0436">
            <w:pPr>
              <w:rPr>
                <w:rFonts w:ascii="Arial" w:hAnsi="Arial" w:cs="Arial"/>
                <w:b/>
                <w:bCs/>
                <w:sz w:val="18"/>
                <w:szCs w:val="18"/>
              </w:rPr>
            </w:pPr>
            <w:r w:rsidRPr="007E3408">
              <w:rPr>
                <w:rFonts w:ascii="Arial" w:hAnsi="Arial" w:cs="Arial"/>
                <w:bCs/>
                <w:color w:val="000000"/>
                <w:sz w:val="18"/>
                <w:szCs w:val="18"/>
              </w:rPr>
              <w:t>Video</w:t>
            </w:r>
            <w:r w:rsidR="00185C07">
              <w:rPr>
                <w:rFonts w:ascii="Arial" w:hAnsi="Arial" w:cs="Arial"/>
                <w:bCs/>
                <w:color w:val="000000"/>
                <w:sz w:val="18"/>
                <w:szCs w:val="18"/>
              </w:rPr>
              <w:t xml:space="preserve"> </w:t>
            </w:r>
            <w:r w:rsidR="00185C07" w:rsidRPr="005D372C">
              <w:rPr>
                <w:rFonts w:ascii="Arial" w:hAnsi="Arial" w:cs="Arial"/>
                <w:bCs/>
                <w:i/>
                <w:color w:val="C00000"/>
                <w:sz w:val="18"/>
                <w:szCs w:val="18"/>
              </w:rPr>
              <w:t>(CTA)</w:t>
            </w:r>
          </w:p>
        </w:tc>
        <w:tc>
          <w:tcPr>
            <w:tcW w:w="5477" w:type="dxa"/>
          </w:tcPr>
          <w:p w14:paraId="7F29126A" w14:textId="77777777" w:rsidR="00EB0436" w:rsidRPr="007E3408" w:rsidRDefault="00EB0436" w:rsidP="00EB0436">
            <w:pPr>
              <w:rPr>
                <w:rFonts w:ascii="Arial" w:hAnsi="Arial" w:cs="Arial"/>
                <w:b/>
                <w:bCs/>
                <w:color w:val="000000"/>
                <w:sz w:val="18"/>
                <w:szCs w:val="18"/>
              </w:rPr>
            </w:pPr>
            <w:r w:rsidRPr="007E3408">
              <w:rPr>
                <w:rFonts w:ascii="Arial" w:hAnsi="Arial" w:cs="Arial"/>
                <w:bCs/>
                <w:color w:val="000000"/>
                <w:sz w:val="18"/>
                <w:szCs w:val="18"/>
              </w:rPr>
              <w:t>With the recent rise of targeted attacks, attack surface reduction has become a critical part of every company's cyber security strategy. This powerful security technique uses intelligent rules to block attackers who seek to paralyze critical operations: Reducing the attack surface is a necessary component for an effective endpoint protection strategy; Identifying risky behaviors helps your customers home-in on attackers to block them.</w:t>
            </w:r>
          </w:p>
          <w:p w14:paraId="47BB11FC" w14:textId="77777777" w:rsidR="00EB0436" w:rsidRPr="007E3408" w:rsidRDefault="00EB0436" w:rsidP="00EB0436">
            <w:pPr>
              <w:rPr>
                <w:rFonts w:ascii="Arial" w:hAnsi="Arial" w:cs="Arial"/>
                <w:b/>
                <w:bCs/>
                <w:sz w:val="18"/>
                <w:szCs w:val="18"/>
              </w:rPr>
            </w:pPr>
          </w:p>
        </w:tc>
      </w:tr>
      <w:tr w:rsidR="00EB0436" w:rsidRPr="007E3408" w14:paraId="3572E23A" w14:textId="77777777" w:rsidTr="00805211">
        <w:tc>
          <w:tcPr>
            <w:tcW w:w="1980" w:type="dxa"/>
            <w:tcBorders>
              <w:bottom w:val="single" w:sz="4" w:space="0" w:color="auto"/>
            </w:tcBorders>
          </w:tcPr>
          <w:p w14:paraId="0BF95FE5" w14:textId="3E0303E5" w:rsidR="00EB0436" w:rsidRPr="007E3408" w:rsidRDefault="00107EB4" w:rsidP="00EB0436">
            <w:pPr>
              <w:rPr>
                <w:rStyle w:val="Hyperlink"/>
                <w:bCs/>
                <w:color w:val="4472C4" w:themeColor="accent1"/>
                <w:u w:val="single"/>
              </w:rPr>
            </w:pPr>
            <w:hyperlink r:id="rId23" w:history="1">
              <w:r w:rsidR="00EB0436" w:rsidRPr="007E3408">
                <w:rPr>
                  <w:rStyle w:val="Hyperlink"/>
                  <w:rFonts w:cs="Arial"/>
                  <w:bCs/>
                  <w:color w:val="4472C4" w:themeColor="accent1"/>
                  <w:sz w:val="18"/>
                  <w:szCs w:val="18"/>
                  <w:u w:val="single"/>
                </w:rPr>
                <w:t>Getting Hit with Targeted Attacks? Symantec Endpoint Behavioral Isolation</w:t>
              </w:r>
            </w:hyperlink>
          </w:p>
          <w:p w14:paraId="5ABE45E7" w14:textId="77777777" w:rsidR="00EB0436" w:rsidRPr="007E3408" w:rsidRDefault="00EB0436" w:rsidP="00EB0436"/>
          <w:p w14:paraId="60FB64B3" w14:textId="78E094ED" w:rsidR="00EB0436" w:rsidRPr="007E3408" w:rsidRDefault="00EB0436" w:rsidP="00EB0436"/>
        </w:tc>
        <w:tc>
          <w:tcPr>
            <w:tcW w:w="1559" w:type="dxa"/>
            <w:tcBorders>
              <w:bottom w:val="single" w:sz="4" w:space="0" w:color="auto"/>
            </w:tcBorders>
          </w:tcPr>
          <w:p w14:paraId="275323C9" w14:textId="4FC00F50" w:rsidR="00EB0436" w:rsidRPr="007E3408" w:rsidRDefault="00EB0436" w:rsidP="00EB0436">
            <w:pPr>
              <w:rPr>
                <w:rFonts w:ascii="Arial" w:hAnsi="Arial" w:cs="Arial"/>
                <w:bCs/>
                <w:color w:val="000000"/>
                <w:sz w:val="18"/>
                <w:szCs w:val="18"/>
              </w:rPr>
            </w:pPr>
            <w:r w:rsidRPr="007E3408">
              <w:rPr>
                <w:rFonts w:ascii="Arial" w:hAnsi="Arial" w:cs="Arial"/>
                <w:bCs/>
                <w:color w:val="000000"/>
                <w:sz w:val="18"/>
                <w:szCs w:val="18"/>
              </w:rPr>
              <w:t>Webinar Recording</w:t>
            </w:r>
          </w:p>
        </w:tc>
        <w:tc>
          <w:tcPr>
            <w:tcW w:w="5477" w:type="dxa"/>
            <w:tcBorders>
              <w:bottom w:val="single" w:sz="4" w:space="0" w:color="auto"/>
            </w:tcBorders>
          </w:tcPr>
          <w:p w14:paraId="630FAEE5" w14:textId="6030AB26" w:rsidR="00EB0436" w:rsidRPr="007E3408" w:rsidRDefault="00EB0436" w:rsidP="00EB0436">
            <w:pPr>
              <w:rPr>
                <w:rFonts w:ascii="Arial" w:hAnsi="Arial" w:cs="Arial"/>
                <w:bCs/>
                <w:color w:val="000000"/>
                <w:sz w:val="18"/>
                <w:szCs w:val="18"/>
              </w:rPr>
            </w:pPr>
            <w:r w:rsidRPr="007E3408">
              <w:rPr>
                <w:rFonts w:ascii="Arial" w:hAnsi="Arial" w:cs="Arial"/>
                <w:bCs/>
                <w:color w:val="000000"/>
                <w:sz w:val="18"/>
                <w:szCs w:val="18"/>
              </w:rPr>
              <w:t xml:space="preserve">Find out: </w:t>
            </w:r>
          </w:p>
          <w:p w14:paraId="0D4E275F" w14:textId="44DE9AAC" w:rsidR="00EB0436" w:rsidRPr="007E3408" w:rsidRDefault="00EB0436" w:rsidP="00EB0436">
            <w:pPr>
              <w:rPr>
                <w:rFonts w:ascii="Arial" w:hAnsi="Arial" w:cs="Arial"/>
                <w:bCs/>
                <w:color w:val="000000"/>
                <w:sz w:val="18"/>
                <w:szCs w:val="18"/>
              </w:rPr>
            </w:pPr>
            <w:r w:rsidRPr="007E3408">
              <w:rPr>
                <w:rFonts w:ascii="Arial" w:hAnsi="Arial" w:cs="Arial"/>
                <w:bCs/>
                <w:color w:val="000000"/>
                <w:sz w:val="18"/>
                <w:szCs w:val="18"/>
              </w:rPr>
              <w:t>Why attack surface reduction is a necessary component of your endpoint protection strategy</w:t>
            </w:r>
            <w:r w:rsidRPr="007E3408">
              <w:rPr>
                <w:rFonts w:ascii="Arial" w:hAnsi="Arial" w:cs="Arial"/>
                <w:bCs/>
                <w:color w:val="000000"/>
                <w:sz w:val="18"/>
                <w:szCs w:val="18"/>
              </w:rPr>
              <w:br/>
            </w:r>
          </w:p>
          <w:p w14:paraId="40C650E5" w14:textId="77777777" w:rsidR="00EB0436" w:rsidRPr="007E3408" w:rsidRDefault="00EB0436" w:rsidP="00EB0436">
            <w:pPr>
              <w:rPr>
                <w:rFonts w:ascii="Arial" w:hAnsi="Arial" w:cs="Arial"/>
                <w:bCs/>
                <w:color w:val="000000"/>
                <w:sz w:val="18"/>
                <w:szCs w:val="18"/>
              </w:rPr>
            </w:pPr>
            <w:r w:rsidRPr="007E3408">
              <w:rPr>
                <w:rFonts w:ascii="Arial" w:hAnsi="Arial" w:cs="Arial"/>
                <w:bCs/>
                <w:color w:val="000000"/>
                <w:sz w:val="18"/>
                <w:szCs w:val="18"/>
              </w:rPr>
              <w:t>How to home in on attackers by identifying risky behaviors and blocking them</w:t>
            </w:r>
          </w:p>
          <w:p w14:paraId="3A2A19BA" w14:textId="77777777" w:rsidR="00EB0436" w:rsidRPr="007E3408" w:rsidRDefault="00EB0436" w:rsidP="00EB0436">
            <w:pPr>
              <w:rPr>
                <w:rFonts w:ascii="Arial" w:hAnsi="Arial" w:cs="Arial"/>
                <w:bCs/>
                <w:color w:val="000000"/>
                <w:sz w:val="18"/>
                <w:szCs w:val="18"/>
              </w:rPr>
            </w:pPr>
            <w:r w:rsidRPr="007E3408">
              <w:rPr>
                <w:rFonts w:ascii="Arial" w:hAnsi="Arial" w:cs="Arial"/>
                <w:bCs/>
                <w:color w:val="000000"/>
                <w:sz w:val="18"/>
                <w:szCs w:val="18"/>
              </w:rPr>
              <w:br/>
              <w:t>What Symantec is doing to enhance its full-feature endpoint offering and make it even easier to keep the bad guys out</w:t>
            </w:r>
          </w:p>
          <w:p w14:paraId="3B909A0E" w14:textId="64660DBE" w:rsidR="00EB0436" w:rsidRPr="007E3408" w:rsidRDefault="00EB0436" w:rsidP="00EB0436">
            <w:pPr>
              <w:rPr>
                <w:rFonts w:ascii="Arial" w:hAnsi="Arial" w:cs="Arial"/>
                <w:b/>
                <w:bCs/>
                <w:color w:val="000000"/>
                <w:sz w:val="18"/>
                <w:szCs w:val="18"/>
              </w:rPr>
            </w:pPr>
          </w:p>
        </w:tc>
      </w:tr>
      <w:tr w:rsidR="00EB0436" w:rsidRPr="007E3408" w14:paraId="0129EBD0" w14:textId="77777777" w:rsidTr="00805211">
        <w:tc>
          <w:tcPr>
            <w:tcW w:w="9016" w:type="dxa"/>
            <w:gridSpan w:val="3"/>
            <w:shd w:val="clear" w:color="auto" w:fill="E7E6E6" w:themeFill="background2"/>
          </w:tcPr>
          <w:p w14:paraId="1606C8E1" w14:textId="77777777" w:rsidR="00805211" w:rsidRPr="007E3408" w:rsidRDefault="00805211" w:rsidP="00805211">
            <w:pPr>
              <w:rPr>
                <w:rFonts w:ascii="Arial" w:hAnsi="Arial" w:cs="Arial"/>
                <w:b/>
                <w:bCs/>
                <w:color w:val="000000"/>
                <w:sz w:val="18"/>
                <w:szCs w:val="18"/>
              </w:rPr>
            </w:pPr>
          </w:p>
          <w:p w14:paraId="60B0FEC0" w14:textId="5F7E9429" w:rsidR="00EB0436" w:rsidRPr="007E3408" w:rsidRDefault="00EB0436" w:rsidP="00805211">
            <w:pPr>
              <w:spacing w:line="360" w:lineRule="auto"/>
              <w:rPr>
                <w:rFonts w:ascii="Arial" w:hAnsi="Arial" w:cs="Arial"/>
                <w:bCs/>
                <w:color w:val="000000"/>
                <w:sz w:val="18"/>
                <w:szCs w:val="18"/>
              </w:rPr>
            </w:pPr>
            <w:r w:rsidRPr="007E3408">
              <w:rPr>
                <w:rFonts w:ascii="Arial" w:hAnsi="Arial" w:cs="Arial"/>
                <w:b/>
                <w:bCs/>
                <w:color w:val="000000"/>
                <w:sz w:val="18"/>
                <w:szCs w:val="18"/>
              </w:rPr>
              <w:t>Threat Hunter</w:t>
            </w:r>
          </w:p>
        </w:tc>
      </w:tr>
      <w:tr w:rsidR="00EB0436" w:rsidRPr="007E3408" w14:paraId="5C219775" w14:textId="77777777" w:rsidTr="00112B93">
        <w:tc>
          <w:tcPr>
            <w:tcW w:w="1980" w:type="dxa"/>
          </w:tcPr>
          <w:p w14:paraId="65B46331" w14:textId="77777777" w:rsidR="00EB0436" w:rsidRPr="007E3408" w:rsidRDefault="00107EB4" w:rsidP="00EB0436">
            <w:pPr>
              <w:rPr>
                <w:rFonts w:ascii="Arial" w:hAnsi="Arial" w:cs="Arial"/>
                <w:b/>
                <w:bCs/>
                <w:color w:val="4472C4" w:themeColor="accent1"/>
                <w:sz w:val="18"/>
                <w:szCs w:val="18"/>
                <w:u w:val="single"/>
              </w:rPr>
            </w:pPr>
            <w:hyperlink r:id="rId24" w:history="1">
              <w:r w:rsidR="00EB0436" w:rsidRPr="007E3408">
                <w:rPr>
                  <w:rStyle w:val="Hyperlink"/>
                  <w:rFonts w:cs="Arial"/>
                  <w:bCs/>
                  <w:color w:val="4472C4" w:themeColor="accent1"/>
                  <w:sz w:val="18"/>
                  <w:szCs w:val="18"/>
                  <w:u w:val="single"/>
                </w:rPr>
                <w:t>Eliminate Blind Spots and Supercharge Your SOC with Symantec Threat Hunter Insights</w:t>
              </w:r>
            </w:hyperlink>
          </w:p>
          <w:p w14:paraId="544E4436" w14:textId="77777777" w:rsidR="00EB0436" w:rsidRPr="007E3408" w:rsidRDefault="00EB0436" w:rsidP="00EB0436">
            <w:pPr>
              <w:rPr>
                <w:rFonts w:ascii="Arial" w:hAnsi="Arial" w:cs="Arial"/>
                <w:b/>
                <w:bCs/>
                <w:color w:val="4472C4" w:themeColor="accent1"/>
                <w:sz w:val="18"/>
                <w:szCs w:val="18"/>
              </w:rPr>
            </w:pPr>
          </w:p>
          <w:p w14:paraId="1B3FF4E4" w14:textId="77777777" w:rsidR="00EB0436" w:rsidRPr="007E3408" w:rsidRDefault="00EB0436" w:rsidP="00EB0436">
            <w:pPr>
              <w:rPr>
                <w:rFonts w:ascii="Arial" w:hAnsi="Arial" w:cs="Arial"/>
                <w:b/>
                <w:bCs/>
                <w:color w:val="4472C4" w:themeColor="accent1"/>
                <w:sz w:val="18"/>
                <w:szCs w:val="18"/>
              </w:rPr>
            </w:pPr>
          </w:p>
        </w:tc>
        <w:tc>
          <w:tcPr>
            <w:tcW w:w="1559" w:type="dxa"/>
          </w:tcPr>
          <w:p w14:paraId="599BBDA8" w14:textId="38C02038" w:rsidR="00EB0436" w:rsidRPr="007E3408" w:rsidRDefault="00EB0436" w:rsidP="00EB0436">
            <w:pPr>
              <w:rPr>
                <w:rFonts w:ascii="Arial" w:hAnsi="Arial" w:cs="Arial"/>
                <w:b/>
                <w:bCs/>
                <w:color w:val="000000"/>
                <w:sz w:val="18"/>
                <w:szCs w:val="18"/>
              </w:rPr>
            </w:pPr>
            <w:r w:rsidRPr="007E3408">
              <w:rPr>
                <w:rFonts w:ascii="Arial" w:hAnsi="Arial" w:cs="Arial"/>
                <w:bCs/>
                <w:color w:val="000000"/>
                <w:sz w:val="18"/>
                <w:szCs w:val="18"/>
              </w:rPr>
              <w:t>White Paper</w:t>
            </w:r>
            <w:r w:rsidR="00185C07">
              <w:rPr>
                <w:rFonts w:ascii="Arial" w:hAnsi="Arial" w:cs="Arial"/>
                <w:bCs/>
                <w:color w:val="000000"/>
                <w:sz w:val="18"/>
                <w:szCs w:val="18"/>
              </w:rPr>
              <w:t xml:space="preserve"> </w:t>
            </w:r>
            <w:r w:rsidR="00185C07" w:rsidRPr="005D372C">
              <w:rPr>
                <w:rFonts w:ascii="Arial" w:hAnsi="Arial" w:cs="Arial"/>
                <w:bCs/>
                <w:i/>
                <w:color w:val="C00000"/>
                <w:sz w:val="18"/>
                <w:szCs w:val="18"/>
              </w:rPr>
              <w:t>(CTA)</w:t>
            </w:r>
          </w:p>
          <w:p w14:paraId="7FA28F30" w14:textId="77777777" w:rsidR="00EB0436" w:rsidRPr="007E3408" w:rsidRDefault="00EB0436" w:rsidP="00EB0436">
            <w:pPr>
              <w:rPr>
                <w:rFonts w:ascii="Arial" w:hAnsi="Arial" w:cs="Arial"/>
                <w:b/>
                <w:bCs/>
                <w:sz w:val="18"/>
                <w:szCs w:val="18"/>
              </w:rPr>
            </w:pPr>
          </w:p>
        </w:tc>
        <w:tc>
          <w:tcPr>
            <w:tcW w:w="5477" w:type="dxa"/>
          </w:tcPr>
          <w:p w14:paraId="46C7C167" w14:textId="77777777" w:rsidR="00EB0436" w:rsidRPr="007E3408" w:rsidRDefault="00EB0436" w:rsidP="00EB0436">
            <w:pPr>
              <w:rPr>
                <w:rFonts w:ascii="Arial" w:hAnsi="Arial" w:cs="Arial"/>
                <w:b/>
                <w:bCs/>
                <w:color w:val="000000"/>
                <w:sz w:val="18"/>
                <w:szCs w:val="18"/>
              </w:rPr>
            </w:pPr>
            <w:r w:rsidRPr="007E3408">
              <w:rPr>
                <w:rFonts w:ascii="Arial" w:hAnsi="Arial" w:cs="Arial"/>
                <w:bCs/>
                <w:color w:val="000000"/>
                <w:sz w:val="18"/>
                <w:szCs w:val="18"/>
              </w:rPr>
              <w:t>Threat Hunter is a new feature in SESC that empowers security teams to quickly respond to incidents and stop breaches. Symantec’s world-class threat analysts are the same cyber security experts who uncovered Suxtnet and WastedLocker. They review the machine learning insights from global customer telemetry. They provide vital insights about potential breaches to organizations directly through the SESC product console to alert SOC teams about potential breach attempts on their organization.</w:t>
            </w:r>
          </w:p>
          <w:p w14:paraId="1A5C25C4" w14:textId="77777777" w:rsidR="00EB0436" w:rsidRPr="007E3408" w:rsidRDefault="00EB0436" w:rsidP="00EB0436">
            <w:pPr>
              <w:rPr>
                <w:rFonts w:ascii="Arial" w:hAnsi="Arial" w:cs="Arial"/>
                <w:b/>
                <w:bCs/>
                <w:sz w:val="18"/>
                <w:szCs w:val="18"/>
              </w:rPr>
            </w:pPr>
          </w:p>
        </w:tc>
      </w:tr>
    </w:tbl>
    <w:p w14:paraId="15E9067C" w14:textId="2AE07F85" w:rsidR="00112B93" w:rsidRPr="007E3408" w:rsidRDefault="00112B93"/>
    <w:tbl>
      <w:tblPr>
        <w:tblStyle w:val="TableGrid"/>
        <w:tblpPr w:leftFromText="180" w:rightFromText="180" w:tblpY="485"/>
        <w:tblW w:w="0" w:type="auto"/>
        <w:tblBorders>
          <w:left w:val="none" w:sz="0" w:space="0" w:color="auto"/>
          <w:right w:val="none" w:sz="0" w:space="0" w:color="auto"/>
          <w:insideV w:val="none" w:sz="0" w:space="0" w:color="auto"/>
        </w:tblBorders>
        <w:tblLook w:val="04A0" w:firstRow="1" w:lastRow="0" w:firstColumn="1" w:lastColumn="0" w:noHBand="0" w:noVBand="1"/>
      </w:tblPr>
      <w:tblGrid>
        <w:gridCol w:w="1980"/>
        <w:gridCol w:w="147"/>
        <w:gridCol w:w="1412"/>
        <w:gridCol w:w="5330"/>
      </w:tblGrid>
      <w:tr w:rsidR="00112B93" w:rsidRPr="007E3408" w14:paraId="1E60427F" w14:textId="77777777" w:rsidTr="00516A2E">
        <w:tc>
          <w:tcPr>
            <w:tcW w:w="2127" w:type="dxa"/>
            <w:gridSpan w:val="2"/>
            <w:shd w:val="clear" w:color="auto" w:fill="C00000"/>
          </w:tcPr>
          <w:p w14:paraId="7974945C" w14:textId="68100F4E" w:rsidR="00112B93" w:rsidRPr="007E3408" w:rsidRDefault="00112B93" w:rsidP="00805211">
            <w:pPr>
              <w:rPr>
                <w:rFonts w:ascii="Arial" w:hAnsi="Arial" w:cs="Arial"/>
                <w:b/>
                <w:bCs/>
                <w:color w:val="FFFFFF" w:themeColor="background1"/>
                <w:sz w:val="18"/>
                <w:szCs w:val="18"/>
              </w:rPr>
            </w:pPr>
            <w:r w:rsidRPr="007E3408">
              <w:rPr>
                <w:rFonts w:ascii="Arial" w:hAnsi="Arial" w:cs="Arial"/>
                <w:b/>
                <w:bCs/>
                <w:color w:val="FFFFFF" w:themeColor="background1"/>
                <w:sz w:val="18"/>
                <w:szCs w:val="18"/>
              </w:rPr>
              <w:lastRenderedPageBreak/>
              <w:t>Title</w:t>
            </w:r>
          </w:p>
        </w:tc>
        <w:tc>
          <w:tcPr>
            <w:tcW w:w="1412" w:type="dxa"/>
            <w:shd w:val="clear" w:color="auto" w:fill="C00000"/>
          </w:tcPr>
          <w:p w14:paraId="086C7FFE" w14:textId="379C04D8" w:rsidR="00112B93" w:rsidRPr="007E3408" w:rsidRDefault="00112B93" w:rsidP="00112B93">
            <w:pPr>
              <w:ind w:left="-108"/>
              <w:rPr>
                <w:rFonts w:ascii="Arial" w:hAnsi="Arial" w:cs="Arial"/>
                <w:b/>
                <w:bCs/>
                <w:color w:val="FFFFFF" w:themeColor="background1"/>
                <w:sz w:val="18"/>
                <w:szCs w:val="18"/>
              </w:rPr>
            </w:pPr>
            <w:r w:rsidRPr="007E3408">
              <w:rPr>
                <w:rFonts w:ascii="Arial" w:hAnsi="Arial" w:cs="Arial"/>
                <w:b/>
                <w:bCs/>
                <w:color w:val="FFFFFF" w:themeColor="background1"/>
                <w:sz w:val="18"/>
                <w:szCs w:val="18"/>
              </w:rPr>
              <w:t>Type</w:t>
            </w:r>
          </w:p>
        </w:tc>
        <w:tc>
          <w:tcPr>
            <w:tcW w:w="5330" w:type="dxa"/>
            <w:shd w:val="clear" w:color="auto" w:fill="C00000"/>
          </w:tcPr>
          <w:p w14:paraId="104E13F4" w14:textId="6DAD3BAF" w:rsidR="00112B93" w:rsidRPr="007E3408" w:rsidRDefault="00516A2E" w:rsidP="00805211">
            <w:pPr>
              <w:rPr>
                <w:rFonts w:ascii="Arial" w:hAnsi="Arial" w:cs="Arial"/>
                <w:b/>
                <w:bCs/>
                <w:color w:val="FFFFFF" w:themeColor="background1"/>
                <w:sz w:val="18"/>
                <w:szCs w:val="18"/>
              </w:rPr>
            </w:pPr>
            <w:r w:rsidRPr="007E3408">
              <w:rPr>
                <w:rFonts w:ascii="Arial" w:hAnsi="Arial" w:cs="Arial"/>
                <w:b/>
                <w:bCs/>
                <w:color w:val="FFFFFF" w:themeColor="background1"/>
                <w:sz w:val="18"/>
                <w:szCs w:val="18"/>
              </w:rPr>
              <w:t>How This Can Help</w:t>
            </w:r>
          </w:p>
        </w:tc>
      </w:tr>
      <w:tr w:rsidR="00805211" w:rsidRPr="007E3408" w14:paraId="45913FD3" w14:textId="77777777" w:rsidTr="00294391">
        <w:tc>
          <w:tcPr>
            <w:tcW w:w="8869" w:type="dxa"/>
            <w:gridSpan w:val="4"/>
            <w:shd w:val="clear" w:color="auto" w:fill="E7E6E6" w:themeFill="background2"/>
          </w:tcPr>
          <w:p w14:paraId="67BA2984" w14:textId="5BE5DCD9" w:rsidR="00805211" w:rsidRPr="007E3408" w:rsidRDefault="00805211" w:rsidP="00805211">
            <w:pPr>
              <w:rPr>
                <w:rFonts w:ascii="Arial" w:hAnsi="Arial" w:cs="Arial"/>
                <w:b/>
                <w:bCs/>
                <w:color w:val="000000"/>
                <w:sz w:val="18"/>
                <w:szCs w:val="18"/>
              </w:rPr>
            </w:pPr>
          </w:p>
          <w:p w14:paraId="2E71247B" w14:textId="1D552D5E" w:rsidR="00805211" w:rsidRPr="007E3408" w:rsidRDefault="00805211" w:rsidP="00805211">
            <w:pPr>
              <w:spacing w:line="360" w:lineRule="auto"/>
              <w:rPr>
                <w:rFonts w:ascii="Arial" w:hAnsi="Arial" w:cs="Arial"/>
                <w:bCs/>
                <w:color w:val="000000"/>
                <w:sz w:val="18"/>
                <w:szCs w:val="18"/>
              </w:rPr>
            </w:pPr>
            <w:r w:rsidRPr="007E3408">
              <w:rPr>
                <w:rFonts w:ascii="Arial" w:hAnsi="Arial" w:cs="Arial"/>
                <w:b/>
                <w:bCs/>
                <w:color w:val="000000"/>
                <w:sz w:val="18"/>
                <w:szCs w:val="18"/>
              </w:rPr>
              <w:t>Threat Defense for Active Directory</w:t>
            </w:r>
          </w:p>
        </w:tc>
      </w:tr>
      <w:tr w:rsidR="00EB0436" w:rsidRPr="007E3408" w14:paraId="4649EB2B" w14:textId="77777777" w:rsidTr="00294391">
        <w:tc>
          <w:tcPr>
            <w:tcW w:w="1980" w:type="dxa"/>
          </w:tcPr>
          <w:p w14:paraId="7853716B" w14:textId="23417364" w:rsidR="00EB0436" w:rsidRPr="007E3408" w:rsidRDefault="00107EB4" w:rsidP="00EB0436">
            <w:pPr>
              <w:rPr>
                <w:rFonts w:ascii="Arial" w:hAnsi="Arial" w:cs="Arial"/>
                <w:bCs/>
                <w:color w:val="4472C4" w:themeColor="accent1"/>
                <w:sz w:val="18"/>
                <w:szCs w:val="18"/>
                <w:u w:val="single"/>
              </w:rPr>
            </w:pPr>
            <w:hyperlink r:id="rId25" w:history="1">
              <w:r w:rsidR="000D1824" w:rsidRPr="007E3408">
                <w:rPr>
                  <w:rStyle w:val="Hyperlink"/>
                  <w:rFonts w:cs="Arial"/>
                  <w:bCs/>
                  <w:color w:val="4472C4" w:themeColor="accent1"/>
                  <w:sz w:val="18"/>
                  <w:szCs w:val="18"/>
                  <w:u w:val="single"/>
                </w:rPr>
                <w:t>Symantec Endpoint T</w:t>
              </w:r>
              <w:r w:rsidR="00EB0436" w:rsidRPr="007E3408">
                <w:rPr>
                  <w:rStyle w:val="Hyperlink"/>
                  <w:rFonts w:cs="Arial"/>
                  <w:bCs/>
                  <w:color w:val="4472C4" w:themeColor="accent1"/>
                  <w:sz w:val="18"/>
                  <w:szCs w:val="18"/>
                  <w:u w:val="single"/>
                </w:rPr>
                <w:t xml:space="preserve">hreat Defense for Active Directory </w:t>
              </w:r>
            </w:hyperlink>
          </w:p>
          <w:p w14:paraId="0FBC59BE" w14:textId="60179F56" w:rsidR="00EB0436" w:rsidRPr="007E3408" w:rsidRDefault="00EB0436" w:rsidP="00EB0436">
            <w:pPr>
              <w:rPr>
                <w:rFonts w:ascii="Arial" w:hAnsi="Arial" w:cs="Arial"/>
                <w:b/>
                <w:bCs/>
                <w:color w:val="4472C4" w:themeColor="accent1"/>
                <w:sz w:val="18"/>
                <w:szCs w:val="18"/>
              </w:rPr>
            </w:pPr>
          </w:p>
        </w:tc>
        <w:tc>
          <w:tcPr>
            <w:tcW w:w="1559" w:type="dxa"/>
            <w:gridSpan w:val="2"/>
          </w:tcPr>
          <w:p w14:paraId="47CB99A0" w14:textId="4D8E93A6" w:rsidR="00EB0436" w:rsidRPr="007E3408" w:rsidRDefault="00EB0436" w:rsidP="00EB0436">
            <w:pPr>
              <w:rPr>
                <w:rFonts w:ascii="Arial" w:hAnsi="Arial" w:cs="Arial"/>
                <w:b/>
                <w:bCs/>
                <w:sz w:val="18"/>
                <w:szCs w:val="18"/>
              </w:rPr>
            </w:pPr>
            <w:r w:rsidRPr="007E3408">
              <w:rPr>
                <w:rFonts w:ascii="Arial" w:hAnsi="Arial" w:cs="Arial"/>
                <w:bCs/>
                <w:color w:val="000000"/>
                <w:sz w:val="18"/>
                <w:szCs w:val="18"/>
              </w:rPr>
              <w:t>Video</w:t>
            </w:r>
            <w:r w:rsidR="00185C07">
              <w:rPr>
                <w:rFonts w:ascii="Arial" w:hAnsi="Arial" w:cs="Arial"/>
                <w:bCs/>
                <w:color w:val="000000"/>
                <w:sz w:val="18"/>
                <w:szCs w:val="18"/>
              </w:rPr>
              <w:t xml:space="preserve"> </w:t>
            </w:r>
            <w:r w:rsidR="00185C07" w:rsidRPr="005D372C">
              <w:rPr>
                <w:rFonts w:ascii="Arial" w:hAnsi="Arial" w:cs="Arial"/>
                <w:bCs/>
                <w:i/>
                <w:color w:val="C00000"/>
                <w:sz w:val="18"/>
                <w:szCs w:val="18"/>
              </w:rPr>
              <w:t>(CTA</w:t>
            </w:r>
            <w:r w:rsidR="00185C07" w:rsidRPr="005D372C">
              <w:rPr>
                <w:rFonts w:ascii="Arial" w:hAnsi="Arial" w:cs="Arial"/>
                <w:bCs/>
                <w:i/>
                <w:color w:val="000000"/>
                <w:sz w:val="18"/>
                <w:szCs w:val="18"/>
              </w:rPr>
              <w:t>)</w:t>
            </w:r>
          </w:p>
        </w:tc>
        <w:tc>
          <w:tcPr>
            <w:tcW w:w="5330" w:type="dxa"/>
          </w:tcPr>
          <w:p w14:paraId="2608327B" w14:textId="7DE03275" w:rsidR="00EB0436" w:rsidRPr="007E3408" w:rsidRDefault="00EB0436" w:rsidP="00EB0436">
            <w:pPr>
              <w:rPr>
                <w:rFonts w:ascii="Arial" w:hAnsi="Arial" w:cs="Arial"/>
                <w:b/>
                <w:bCs/>
                <w:color w:val="000000"/>
                <w:sz w:val="18"/>
                <w:szCs w:val="18"/>
              </w:rPr>
            </w:pPr>
            <w:r w:rsidRPr="007E3408">
              <w:rPr>
                <w:rFonts w:ascii="Arial" w:hAnsi="Arial" w:cs="Arial"/>
                <w:bCs/>
                <w:color w:val="000000"/>
                <w:sz w:val="18"/>
                <w:szCs w:val="18"/>
              </w:rPr>
              <w:t>Microsoft Active Directory is an organization’s highest-valued network asset, but often the least protected, making it the number one target for attackers after they penetrate the network. Attackers need only to compromise and perform a few queries on a single device to obtain total domain dominance. This can happen in under seven minutes leaving SOC teams no time to act.</w:t>
            </w:r>
            <w:r w:rsidRPr="007E3408">
              <w:rPr>
                <w:rFonts w:ascii="Arial" w:hAnsi="Arial" w:cs="Arial"/>
                <w:b/>
                <w:bCs/>
                <w:color w:val="000000"/>
                <w:sz w:val="18"/>
                <w:szCs w:val="18"/>
              </w:rPr>
              <w:t xml:space="preserve"> </w:t>
            </w:r>
            <w:r w:rsidRPr="007E3408">
              <w:rPr>
                <w:rFonts w:ascii="Arial" w:hAnsi="Arial" w:cs="Arial"/>
                <w:bCs/>
                <w:color w:val="000000"/>
                <w:sz w:val="18"/>
                <w:szCs w:val="18"/>
              </w:rPr>
              <w:t xml:space="preserve">It is critical to protect Active Directory from the endpoint to stop attackers on their first move. Symantec Endpoint Threat Defense for Active Directory with AI-driven intrusion detection, investigation and containment offers 99% success rate of in stopping an attacker on their first move. </w:t>
            </w:r>
          </w:p>
          <w:p w14:paraId="68D17387" w14:textId="77777777" w:rsidR="00EB0436" w:rsidRPr="007E3408" w:rsidRDefault="00EB0436" w:rsidP="00EB0436">
            <w:pPr>
              <w:rPr>
                <w:rFonts w:ascii="Arial" w:hAnsi="Arial" w:cs="Arial"/>
                <w:b/>
                <w:bCs/>
                <w:sz w:val="18"/>
                <w:szCs w:val="18"/>
              </w:rPr>
            </w:pPr>
          </w:p>
        </w:tc>
      </w:tr>
      <w:tr w:rsidR="00EB0436" w:rsidRPr="007E3408" w14:paraId="2BA3C08E" w14:textId="77777777" w:rsidTr="00294391">
        <w:tc>
          <w:tcPr>
            <w:tcW w:w="1980" w:type="dxa"/>
          </w:tcPr>
          <w:p w14:paraId="459C9399" w14:textId="3229EA81" w:rsidR="00EB0436" w:rsidRPr="007E3408" w:rsidRDefault="00107EB4" w:rsidP="00EB0436">
            <w:pPr>
              <w:rPr>
                <w:rStyle w:val="Hyperlink"/>
                <w:bCs/>
                <w:color w:val="4472C4" w:themeColor="accent1"/>
                <w:szCs w:val="18"/>
                <w:u w:val="single"/>
              </w:rPr>
            </w:pPr>
            <w:hyperlink r:id="rId26" w:history="1">
              <w:r w:rsidR="00EB0436" w:rsidRPr="007E3408">
                <w:rPr>
                  <w:rStyle w:val="Hyperlink"/>
                  <w:rFonts w:cs="Arial"/>
                  <w:bCs/>
                  <w:color w:val="4472C4" w:themeColor="accent1"/>
                  <w:sz w:val="18"/>
                  <w:szCs w:val="18"/>
                  <w:u w:val="single"/>
                </w:rPr>
                <w:t>Symantec Endpoint Threat Defense for Active Directory</w:t>
              </w:r>
            </w:hyperlink>
          </w:p>
          <w:p w14:paraId="2D0E9D97" w14:textId="0A532204" w:rsidR="00EB0436" w:rsidRPr="007E3408" w:rsidRDefault="00EB0436" w:rsidP="00EB0436">
            <w:pPr>
              <w:rPr>
                <w:b/>
              </w:rPr>
            </w:pPr>
          </w:p>
        </w:tc>
        <w:tc>
          <w:tcPr>
            <w:tcW w:w="1559" w:type="dxa"/>
            <w:gridSpan w:val="2"/>
          </w:tcPr>
          <w:p w14:paraId="24C08053" w14:textId="6CEF5F99" w:rsidR="00EB0436" w:rsidRPr="007E3408" w:rsidRDefault="00EB0436" w:rsidP="00EB0436">
            <w:pPr>
              <w:rPr>
                <w:rFonts w:ascii="Arial" w:hAnsi="Arial" w:cs="Arial"/>
                <w:bCs/>
                <w:color w:val="000000"/>
                <w:sz w:val="18"/>
                <w:szCs w:val="18"/>
              </w:rPr>
            </w:pPr>
            <w:r w:rsidRPr="007E3408">
              <w:rPr>
                <w:rFonts w:ascii="Arial" w:hAnsi="Arial" w:cs="Arial"/>
                <w:bCs/>
                <w:color w:val="000000"/>
                <w:sz w:val="18"/>
                <w:szCs w:val="18"/>
              </w:rPr>
              <w:t>Solution Brief</w:t>
            </w:r>
            <w:r w:rsidR="00185C07">
              <w:rPr>
                <w:rFonts w:ascii="Arial" w:hAnsi="Arial" w:cs="Arial"/>
                <w:bCs/>
                <w:color w:val="000000"/>
                <w:sz w:val="18"/>
                <w:szCs w:val="18"/>
              </w:rPr>
              <w:t xml:space="preserve"> </w:t>
            </w:r>
          </w:p>
        </w:tc>
        <w:tc>
          <w:tcPr>
            <w:tcW w:w="5330" w:type="dxa"/>
          </w:tcPr>
          <w:p w14:paraId="12CC450F" w14:textId="3CEBDFA3" w:rsidR="00EB0436" w:rsidRPr="007E3408" w:rsidRDefault="00EB0436" w:rsidP="00EB0436">
            <w:pPr>
              <w:rPr>
                <w:rFonts w:ascii="Arial" w:hAnsi="Arial" w:cs="Arial"/>
                <w:bCs/>
                <w:color w:val="000000"/>
                <w:sz w:val="18"/>
                <w:szCs w:val="18"/>
              </w:rPr>
            </w:pPr>
            <w:r w:rsidRPr="007E3408">
              <w:rPr>
                <w:rFonts w:ascii="Arial" w:hAnsi="Arial" w:cs="Arial"/>
                <w:bCs/>
                <w:color w:val="000000"/>
                <w:sz w:val="18"/>
                <w:szCs w:val="18"/>
              </w:rPr>
              <w:t xml:space="preserve">Symantec advances endpoint security by addressing stealthy attacks or advanced persistent threats with effective Active Directory defense from the endpoint to provide autonomous </w:t>
            </w:r>
          </w:p>
          <w:p w14:paraId="70CBABC4" w14:textId="5F233394" w:rsidR="00EB0436" w:rsidRPr="007E3408" w:rsidRDefault="00EB0436" w:rsidP="00EB0436">
            <w:pPr>
              <w:rPr>
                <w:rFonts w:ascii="Arial" w:hAnsi="Arial" w:cs="Arial"/>
                <w:bCs/>
                <w:color w:val="000000"/>
                <w:sz w:val="18"/>
                <w:szCs w:val="18"/>
              </w:rPr>
            </w:pPr>
            <w:r w:rsidRPr="007E3408">
              <w:rPr>
                <w:rFonts w:ascii="Arial" w:hAnsi="Arial" w:cs="Arial"/>
                <w:bCs/>
                <w:color w:val="000000"/>
                <w:sz w:val="18"/>
                <w:szCs w:val="18"/>
              </w:rPr>
              <w:t>breach containment, incident response, and domain security assessment. It is the only security solution that immediately contains attackers after compromise of an endpoint, but before they can persist on the domain.</w:t>
            </w:r>
          </w:p>
          <w:p w14:paraId="0807BB29" w14:textId="477BBB42" w:rsidR="00EB0436" w:rsidRPr="007E3408" w:rsidRDefault="00EB0436" w:rsidP="00EB0436">
            <w:pPr>
              <w:rPr>
                <w:rFonts w:ascii="Arial" w:hAnsi="Arial" w:cs="Arial"/>
                <w:b/>
                <w:bCs/>
                <w:color w:val="000000"/>
                <w:sz w:val="18"/>
                <w:szCs w:val="18"/>
              </w:rPr>
            </w:pPr>
          </w:p>
        </w:tc>
      </w:tr>
      <w:tr w:rsidR="00EB0436" w:rsidRPr="007E3408" w14:paraId="2964DE44" w14:textId="77777777" w:rsidTr="00294391">
        <w:tc>
          <w:tcPr>
            <w:tcW w:w="1980" w:type="dxa"/>
            <w:tcBorders>
              <w:bottom w:val="single" w:sz="4" w:space="0" w:color="auto"/>
            </w:tcBorders>
          </w:tcPr>
          <w:p w14:paraId="05BD08F7" w14:textId="6412CD58" w:rsidR="00666839" w:rsidRDefault="00107EB4" w:rsidP="000F2F5E">
            <w:pPr>
              <w:rPr>
                <w:rStyle w:val="Hyperlink"/>
                <w:rFonts w:cs="Arial"/>
                <w:bCs/>
                <w:color w:val="4472C4" w:themeColor="accent1"/>
                <w:sz w:val="18"/>
                <w:szCs w:val="18"/>
                <w:u w:val="single"/>
              </w:rPr>
            </w:pPr>
            <w:hyperlink r:id="rId27" w:history="1">
              <w:r w:rsidR="008B3D99">
                <w:rPr>
                  <w:rStyle w:val="Hyperlink"/>
                  <w:rFonts w:cs="Arial"/>
                  <w:bCs/>
                  <w:color w:val="4472C4" w:themeColor="accent1"/>
                  <w:sz w:val="18"/>
                  <w:szCs w:val="18"/>
                  <w:u w:val="single"/>
                </w:rPr>
                <w:t>Symantec</w:t>
              </w:r>
              <w:r w:rsidR="00666839" w:rsidRPr="00666839">
                <w:rPr>
                  <w:rStyle w:val="Hyperlink"/>
                  <w:rFonts w:cs="Arial"/>
                  <w:bCs/>
                  <w:color w:val="4472C4" w:themeColor="accent1"/>
                  <w:sz w:val="18"/>
                  <w:szCs w:val="18"/>
                  <w:u w:val="single"/>
                </w:rPr>
                <w:t xml:space="preserve"> Breach Assessment</w:t>
              </w:r>
            </w:hyperlink>
          </w:p>
          <w:p w14:paraId="6667DD00" w14:textId="77777777" w:rsidR="00666839" w:rsidRDefault="00666839" w:rsidP="000F2F5E">
            <w:pPr>
              <w:rPr>
                <w:rStyle w:val="Hyperlink"/>
                <w:rFonts w:cs="Arial"/>
                <w:bCs/>
                <w:color w:val="4472C4" w:themeColor="accent1"/>
                <w:sz w:val="18"/>
                <w:szCs w:val="18"/>
                <w:u w:val="single"/>
              </w:rPr>
            </w:pPr>
          </w:p>
          <w:p w14:paraId="0D43BDC9" w14:textId="76DC56AB" w:rsidR="000F2F5E" w:rsidRPr="005806D7" w:rsidRDefault="00107EB4" w:rsidP="000F2F5E">
            <w:pPr>
              <w:rPr>
                <w:rStyle w:val="Hyperlink"/>
                <w:rFonts w:cs="Arial"/>
                <w:bCs/>
                <w:color w:val="4472C4" w:themeColor="accent1"/>
                <w:sz w:val="18"/>
                <w:szCs w:val="18"/>
              </w:rPr>
            </w:pPr>
            <w:hyperlink r:id="rId28" w:history="1">
              <w:r w:rsidR="00607C32">
                <w:rPr>
                  <w:rStyle w:val="Hyperlink"/>
                  <w:rFonts w:cs="Arial"/>
                  <w:bCs/>
                  <w:color w:val="4472C4" w:themeColor="accent1"/>
                  <w:sz w:val="18"/>
                  <w:szCs w:val="18"/>
                  <w:u w:val="single"/>
                </w:rPr>
                <w:t>Breach Assessment Guide</w:t>
              </w:r>
            </w:hyperlink>
            <w:r w:rsidR="005806D7">
              <w:rPr>
                <w:rStyle w:val="Hyperlink"/>
                <w:rFonts w:cs="Arial"/>
                <w:bCs/>
                <w:color w:val="4472C4" w:themeColor="accent1"/>
                <w:sz w:val="18"/>
                <w:szCs w:val="18"/>
              </w:rPr>
              <w:t xml:space="preserve"> | </w:t>
            </w:r>
            <w:hyperlink r:id="rId29" w:history="1">
              <w:r w:rsidR="005806D7" w:rsidRPr="005806D7">
                <w:rPr>
                  <w:rStyle w:val="Hyperlink"/>
                  <w:rFonts w:cs="Arial"/>
                  <w:bCs/>
                  <w:color w:val="4472C4" w:themeColor="accent1"/>
                  <w:sz w:val="18"/>
                  <w:szCs w:val="18"/>
                  <w:u w:val="single"/>
                </w:rPr>
                <w:t>Video</w:t>
              </w:r>
            </w:hyperlink>
          </w:p>
          <w:p w14:paraId="67674F99" w14:textId="01657F72" w:rsidR="000C551C" w:rsidRDefault="000C551C" w:rsidP="000F2F5E">
            <w:pPr>
              <w:rPr>
                <w:rStyle w:val="Hyperlink"/>
                <w:rFonts w:cs="Arial"/>
                <w:bCs/>
                <w:color w:val="4472C4" w:themeColor="accent1"/>
                <w:sz w:val="18"/>
                <w:szCs w:val="18"/>
                <w:u w:val="single"/>
              </w:rPr>
            </w:pPr>
          </w:p>
          <w:p w14:paraId="2DD6EA3E" w14:textId="45E42BC4" w:rsidR="000C551C" w:rsidRDefault="00107EB4" w:rsidP="000F2F5E">
            <w:pPr>
              <w:rPr>
                <w:rStyle w:val="Hyperlink"/>
                <w:rFonts w:cs="Arial"/>
                <w:bCs/>
                <w:color w:val="4472C4" w:themeColor="accent1"/>
                <w:sz w:val="18"/>
                <w:szCs w:val="18"/>
                <w:u w:val="single"/>
              </w:rPr>
            </w:pPr>
            <w:hyperlink r:id="rId30" w:history="1">
              <w:r w:rsidR="000C551C" w:rsidRPr="000C551C">
                <w:rPr>
                  <w:rStyle w:val="Hyperlink"/>
                  <w:rFonts w:cs="Arial"/>
                  <w:bCs/>
                  <w:color w:val="4472C4" w:themeColor="accent1"/>
                  <w:sz w:val="18"/>
                  <w:szCs w:val="18"/>
                  <w:u w:val="single"/>
                </w:rPr>
                <w:t>Sample Assessment Report</w:t>
              </w:r>
            </w:hyperlink>
          </w:p>
          <w:p w14:paraId="44282D98" w14:textId="77777777" w:rsidR="00666839" w:rsidRDefault="00666839" w:rsidP="000F2F5E">
            <w:pPr>
              <w:rPr>
                <w:rStyle w:val="Hyperlink"/>
                <w:rFonts w:cs="Arial"/>
                <w:bCs/>
                <w:color w:val="4472C4" w:themeColor="accent1"/>
                <w:sz w:val="18"/>
                <w:szCs w:val="18"/>
                <w:u w:val="single"/>
              </w:rPr>
            </w:pPr>
          </w:p>
          <w:p w14:paraId="310EA89E" w14:textId="50A9CDCA" w:rsidR="00666839" w:rsidRPr="00666839" w:rsidRDefault="00107EB4" w:rsidP="000F2F5E">
            <w:hyperlink r:id="rId31" w:history="1">
              <w:r w:rsidR="00666839" w:rsidRPr="00666839">
                <w:rPr>
                  <w:rStyle w:val="Hyperlink"/>
                  <w:rFonts w:cs="Arial"/>
                  <w:bCs/>
                  <w:color w:val="4472C4" w:themeColor="accent1"/>
                  <w:sz w:val="18"/>
                  <w:szCs w:val="18"/>
                  <w:u w:val="single"/>
                </w:rPr>
                <w:t>Customer Invitation Email</w:t>
              </w:r>
            </w:hyperlink>
          </w:p>
        </w:tc>
        <w:tc>
          <w:tcPr>
            <w:tcW w:w="1559" w:type="dxa"/>
            <w:gridSpan w:val="2"/>
            <w:tcBorders>
              <w:bottom w:val="single" w:sz="4" w:space="0" w:color="auto"/>
            </w:tcBorders>
          </w:tcPr>
          <w:p w14:paraId="20017C63" w14:textId="4C0A8636" w:rsidR="00EB0436" w:rsidRDefault="00666839" w:rsidP="00EB0436">
            <w:pPr>
              <w:rPr>
                <w:rFonts w:ascii="Arial" w:hAnsi="Arial" w:cs="Arial"/>
                <w:bCs/>
                <w:i/>
                <w:color w:val="C00000"/>
                <w:sz w:val="18"/>
                <w:szCs w:val="18"/>
              </w:rPr>
            </w:pPr>
            <w:r>
              <w:rPr>
                <w:rFonts w:ascii="Arial" w:hAnsi="Arial" w:cs="Arial"/>
                <w:bCs/>
                <w:color w:val="000000"/>
                <w:sz w:val="18"/>
                <w:szCs w:val="18"/>
              </w:rPr>
              <w:t xml:space="preserve">Breach </w:t>
            </w:r>
            <w:r w:rsidR="00EB0436" w:rsidRPr="007E3408">
              <w:rPr>
                <w:rFonts w:ascii="Arial" w:hAnsi="Arial" w:cs="Arial"/>
                <w:bCs/>
                <w:color w:val="000000"/>
                <w:sz w:val="18"/>
                <w:szCs w:val="18"/>
              </w:rPr>
              <w:t>Assessment</w:t>
            </w:r>
            <w:r w:rsidR="00185C07">
              <w:rPr>
                <w:rFonts w:ascii="Arial" w:hAnsi="Arial" w:cs="Arial"/>
                <w:bCs/>
                <w:color w:val="000000"/>
                <w:sz w:val="18"/>
                <w:szCs w:val="18"/>
              </w:rPr>
              <w:t xml:space="preserve"> </w:t>
            </w:r>
            <w:r w:rsidR="00185C07" w:rsidRPr="005D372C">
              <w:rPr>
                <w:rFonts w:ascii="Arial" w:hAnsi="Arial" w:cs="Arial"/>
                <w:bCs/>
                <w:i/>
                <w:color w:val="C00000"/>
                <w:sz w:val="18"/>
                <w:szCs w:val="18"/>
              </w:rPr>
              <w:t>(CTA)</w:t>
            </w:r>
          </w:p>
          <w:p w14:paraId="4ACB9A5C" w14:textId="77777777" w:rsidR="005806D7" w:rsidRDefault="005806D7" w:rsidP="00EB0436">
            <w:pPr>
              <w:rPr>
                <w:rFonts w:ascii="Arial" w:hAnsi="Arial" w:cs="Arial"/>
                <w:bCs/>
                <w:color w:val="C00000"/>
                <w:sz w:val="18"/>
                <w:szCs w:val="18"/>
              </w:rPr>
            </w:pPr>
          </w:p>
          <w:p w14:paraId="7712B57C" w14:textId="70DE7E01" w:rsidR="000C551C" w:rsidRPr="005806D7" w:rsidRDefault="00107EB4" w:rsidP="00EB0436">
            <w:pPr>
              <w:rPr>
                <w:rStyle w:val="Hyperlink"/>
                <w:color w:val="4472C4" w:themeColor="accent1"/>
                <w:u w:val="single"/>
              </w:rPr>
            </w:pPr>
            <w:hyperlink r:id="rId32" w:history="1">
              <w:r w:rsidR="000C551C" w:rsidRPr="005806D7">
                <w:rPr>
                  <w:rStyle w:val="Hyperlink"/>
                  <w:rFonts w:cs="Arial"/>
                  <w:bCs/>
                  <w:color w:val="4472C4" w:themeColor="accent1"/>
                  <w:sz w:val="18"/>
                  <w:szCs w:val="18"/>
                  <w:u w:val="single"/>
                </w:rPr>
                <w:t>How To Use</w:t>
              </w:r>
            </w:hyperlink>
          </w:p>
          <w:p w14:paraId="4D1E88B0" w14:textId="77777777" w:rsidR="000C551C" w:rsidRDefault="000C551C" w:rsidP="00EB0436">
            <w:pPr>
              <w:rPr>
                <w:rFonts w:ascii="Arial" w:hAnsi="Arial" w:cs="Arial"/>
                <w:bCs/>
                <w:i/>
                <w:color w:val="C00000"/>
                <w:sz w:val="18"/>
                <w:szCs w:val="18"/>
              </w:rPr>
            </w:pPr>
          </w:p>
          <w:p w14:paraId="1A678340" w14:textId="72FC23B0" w:rsidR="000C551C" w:rsidRPr="007E3408" w:rsidRDefault="000C551C" w:rsidP="00EB0436">
            <w:pPr>
              <w:rPr>
                <w:rFonts w:ascii="Arial" w:hAnsi="Arial" w:cs="Arial"/>
                <w:bCs/>
                <w:color w:val="000000"/>
                <w:sz w:val="18"/>
                <w:szCs w:val="18"/>
              </w:rPr>
            </w:pPr>
          </w:p>
        </w:tc>
        <w:tc>
          <w:tcPr>
            <w:tcW w:w="5330" w:type="dxa"/>
            <w:tcBorders>
              <w:bottom w:val="single" w:sz="4" w:space="0" w:color="auto"/>
            </w:tcBorders>
          </w:tcPr>
          <w:p w14:paraId="4D6A6921" w14:textId="2BB6E18A" w:rsidR="0079595C" w:rsidRDefault="008B3D99" w:rsidP="00EB0436">
            <w:pPr>
              <w:rPr>
                <w:rFonts w:ascii="Arial" w:hAnsi="Arial" w:cs="Arial"/>
                <w:bCs/>
                <w:color w:val="000000"/>
                <w:sz w:val="18"/>
                <w:szCs w:val="18"/>
              </w:rPr>
            </w:pPr>
            <w:r>
              <w:rPr>
                <w:rFonts w:ascii="Arial" w:hAnsi="Arial" w:cs="Arial"/>
                <w:bCs/>
                <w:color w:val="000000"/>
                <w:sz w:val="18"/>
                <w:szCs w:val="18"/>
              </w:rPr>
              <w:t>Symantec Breach Assessment</w:t>
            </w:r>
            <w:r w:rsidR="00FB656D">
              <w:rPr>
                <w:rFonts w:ascii="Arial" w:hAnsi="Arial" w:cs="Arial"/>
                <w:bCs/>
                <w:color w:val="000000"/>
                <w:sz w:val="18"/>
                <w:szCs w:val="18"/>
              </w:rPr>
              <w:t xml:space="preserve"> uncover</w:t>
            </w:r>
            <w:r>
              <w:rPr>
                <w:rFonts w:ascii="Arial" w:hAnsi="Arial" w:cs="Arial"/>
                <w:bCs/>
                <w:color w:val="000000"/>
                <w:sz w:val="18"/>
                <w:szCs w:val="18"/>
              </w:rPr>
              <w:t>s</w:t>
            </w:r>
            <w:r w:rsidR="00FB656D">
              <w:rPr>
                <w:rFonts w:ascii="Arial" w:hAnsi="Arial" w:cs="Arial"/>
                <w:bCs/>
                <w:color w:val="000000"/>
                <w:sz w:val="18"/>
                <w:szCs w:val="18"/>
              </w:rPr>
              <w:t xml:space="preserve"> Active Directory (AD) </w:t>
            </w:r>
            <w:r w:rsidR="00EB0436" w:rsidRPr="007E3408">
              <w:rPr>
                <w:rFonts w:ascii="Arial" w:hAnsi="Arial" w:cs="Arial"/>
                <w:bCs/>
                <w:color w:val="000000"/>
                <w:sz w:val="18"/>
                <w:szCs w:val="18"/>
              </w:rPr>
              <w:t>breach</w:t>
            </w:r>
            <w:r>
              <w:rPr>
                <w:rFonts w:ascii="Arial" w:hAnsi="Arial" w:cs="Arial"/>
                <w:bCs/>
                <w:color w:val="000000"/>
                <w:sz w:val="18"/>
                <w:szCs w:val="18"/>
              </w:rPr>
              <w:t xml:space="preserve">es. Symantec </w:t>
            </w:r>
            <w:r w:rsidR="00FB656D">
              <w:rPr>
                <w:rFonts w:ascii="Arial" w:hAnsi="Arial" w:cs="Arial"/>
                <w:bCs/>
                <w:color w:val="000000"/>
                <w:sz w:val="18"/>
                <w:szCs w:val="18"/>
              </w:rPr>
              <w:t>Partners can offer</w:t>
            </w:r>
            <w:r>
              <w:rPr>
                <w:rFonts w:ascii="Arial" w:hAnsi="Arial" w:cs="Arial"/>
                <w:bCs/>
                <w:color w:val="000000"/>
                <w:sz w:val="18"/>
                <w:szCs w:val="18"/>
              </w:rPr>
              <w:t xml:space="preserve"> this</w:t>
            </w:r>
            <w:r w:rsidR="000843E9" w:rsidRPr="007E3408">
              <w:rPr>
                <w:rFonts w:ascii="Arial" w:hAnsi="Arial" w:cs="Arial"/>
                <w:bCs/>
                <w:color w:val="000000"/>
                <w:sz w:val="18"/>
                <w:szCs w:val="18"/>
              </w:rPr>
              <w:t xml:space="preserve"> </w:t>
            </w:r>
            <w:r w:rsidR="00EB0436" w:rsidRPr="007E3408">
              <w:rPr>
                <w:rFonts w:ascii="Arial" w:hAnsi="Arial" w:cs="Arial"/>
                <w:b/>
                <w:bCs/>
                <w:color w:val="000000"/>
                <w:sz w:val="18"/>
                <w:szCs w:val="18"/>
              </w:rPr>
              <w:t>AD</w:t>
            </w:r>
            <w:r w:rsidR="000843E9" w:rsidRPr="007E3408">
              <w:rPr>
                <w:rFonts w:ascii="Arial" w:hAnsi="Arial" w:cs="Arial"/>
                <w:b/>
                <w:bCs/>
                <w:color w:val="000000"/>
                <w:sz w:val="18"/>
                <w:szCs w:val="18"/>
              </w:rPr>
              <w:t xml:space="preserve"> </w:t>
            </w:r>
            <w:r w:rsidR="00984F23" w:rsidRPr="007E3408">
              <w:rPr>
                <w:rFonts w:ascii="Arial" w:hAnsi="Arial" w:cs="Arial"/>
                <w:b/>
                <w:bCs/>
                <w:color w:val="000000"/>
                <w:sz w:val="18"/>
                <w:szCs w:val="18"/>
              </w:rPr>
              <w:t xml:space="preserve">Breach </w:t>
            </w:r>
            <w:r w:rsidR="000F2F5E">
              <w:rPr>
                <w:rFonts w:ascii="Arial" w:hAnsi="Arial" w:cs="Arial"/>
                <w:b/>
                <w:bCs/>
                <w:color w:val="000000"/>
                <w:sz w:val="18"/>
                <w:szCs w:val="18"/>
              </w:rPr>
              <w:t>Assessment Simulator</w:t>
            </w:r>
            <w:r w:rsidR="00FB656D">
              <w:rPr>
                <w:rFonts w:ascii="Arial" w:hAnsi="Arial" w:cs="Arial"/>
                <w:b/>
                <w:bCs/>
                <w:color w:val="000000"/>
                <w:sz w:val="18"/>
                <w:szCs w:val="18"/>
              </w:rPr>
              <w:t xml:space="preserve"> </w:t>
            </w:r>
            <w:r w:rsidR="00FB656D" w:rsidRPr="00FB656D">
              <w:rPr>
                <w:rFonts w:ascii="Arial" w:hAnsi="Arial" w:cs="Arial"/>
                <w:bCs/>
                <w:color w:val="000000"/>
                <w:sz w:val="18"/>
                <w:szCs w:val="18"/>
              </w:rPr>
              <w:t>to their customers</w:t>
            </w:r>
            <w:r w:rsidR="00FB656D">
              <w:rPr>
                <w:rFonts w:ascii="Arial" w:hAnsi="Arial" w:cs="Arial"/>
                <w:bCs/>
                <w:color w:val="000000"/>
                <w:sz w:val="18"/>
                <w:szCs w:val="18"/>
              </w:rPr>
              <w:t xml:space="preserve"> who can run it in their environments</w:t>
            </w:r>
            <w:r w:rsidR="00984F23" w:rsidRPr="007E3408">
              <w:rPr>
                <w:rFonts w:ascii="Arial" w:hAnsi="Arial" w:cs="Arial"/>
                <w:bCs/>
                <w:color w:val="000000"/>
                <w:sz w:val="18"/>
                <w:szCs w:val="18"/>
              </w:rPr>
              <w:t xml:space="preserve"> </w:t>
            </w:r>
            <w:r w:rsidR="002E1328" w:rsidRPr="007E3408">
              <w:rPr>
                <w:rFonts w:ascii="Arial" w:hAnsi="Arial" w:cs="Arial"/>
                <w:bCs/>
                <w:color w:val="000000"/>
                <w:sz w:val="18"/>
                <w:szCs w:val="18"/>
              </w:rPr>
              <w:t xml:space="preserve">to </w:t>
            </w:r>
            <w:r>
              <w:rPr>
                <w:rFonts w:ascii="Arial" w:hAnsi="Arial" w:cs="Arial"/>
                <w:bCs/>
                <w:color w:val="000000"/>
                <w:sz w:val="18"/>
                <w:szCs w:val="18"/>
              </w:rPr>
              <w:t>detect</w:t>
            </w:r>
            <w:r w:rsidR="00EB0436" w:rsidRPr="007E3408">
              <w:rPr>
                <w:rFonts w:ascii="Arial" w:hAnsi="Arial" w:cs="Arial"/>
                <w:bCs/>
                <w:color w:val="000000"/>
                <w:sz w:val="18"/>
                <w:szCs w:val="18"/>
              </w:rPr>
              <w:t xml:space="preserve"> </w:t>
            </w:r>
            <w:r w:rsidR="00FB656D">
              <w:rPr>
                <w:rFonts w:ascii="Arial" w:hAnsi="Arial" w:cs="Arial"/>
                <w:bCs/>
                <w:color w:val="000000"/>
                <w:sz w:val="18"/>
                <w:szCs w:val="18"/>
              </w:rPr>
              <w:t>potential weaknesses.</w:t>
            </w:r>
          </w:p>
          <w:p w14:paraId="59D49EA3" w14:textId="25106D95" w:rsidR="00EB0436" w:rsidRPr="007E3408" w:rsidRDefault="00FB656D" w:rsidP="0079595C">
            <w:pPr>
              <w:rPr>
                <w:rFonts w:ascii="Arial" w:hAnsi="Arial" w:cs="Arial"/>
                <w:bCs/>
                <w:color w:val="000000"/>
                <w:sz w:val="18"/>
                <w:szCs w:val="18"/>
              </w:rPr>
            </w:pPr>
            <w:r>
              <w:rPr>
                <w:rFonts w:ascii="Arial" w:hAnsi="Arial" w:cs="Arial"/>
                <w:b/>
                <w:bCs/>
                <w:color w:val="000000"/>
                <w:sz w:val="18"/>
                <w:szCs w:val="18"/>
              </w:rPr>
              <w:t xml:space="preserve">This </w:t>
            </w:r>
            <w:r w:rsidR="007757FD" w:rsidRPr="007757FD">
              <w:rPr>
                <w:rFonts w:ascii="Arial" w:hAnsi="Arial" w:cs="Arial"/>
                <w:b/>
                <w:bCs/>
                <w:color w:val="000000"/>
                <w:sz w:val="18"/>
                <w:szCs w:val="18"/>
              </w:rPr>
              <w:t>tool</w:t>
            </w:r>
            <w:r w:rsidR="007757FD">
              <w:rPr>
                <w:rFonts w:ascii="Arial" w:hAnsi="Arial" w:cs="Arial"/>
                <w:bCs/>
                <w:color w:val="000000"/>
                <w:sz w:val="18"/>
                <w:szCs w:val="18"/>
              </w:rPr>
              <w:t xml:space="preserve"> </w:t>
            </w:r>
            <w:r w:rsidR="0079595C" w:rsidRPr="0079595C">
              <w:rPr>
                <w:rFonts w:ascii="Arial" w:hAnsi="Arial" w:cs="Arial"/>
                <w:bCs/>
                <w:color w:val="000000"/>
                <w:sz w:val="18"/>
                <w:szCs w:val="18"/>
              </w:rPr>
              <w:t xml:space="preserve">utilizes the functionality of Threat Defense for Active Directory </w:t>
            </w:r>
            <w:r w:rsidR="0079595C" w:rsidRPr="0079595C">
              <w:rPr>
                <w:rFonts w:ascii="Arial" w:hAnsi="Arial" w:cs="Arial"/>
                <w:b/>
                <w:bCs/>
                <w:color w:val="000000"/>
                <w:sz w:val="18"/>
                <w:szCs w:val="18"/>
              </w:rPr>
              <w:t>(TDAD)</w:t>
            </w:r>
            <w:r w:rsidR="0079595C" w:rsidRPr="0079595C">
              <w:rPr>
                <w:rFonts w:ascii="Arial" w:hAnsi="Arial" w:cs="Arial"/>
                <w:bCs/>
                <w:color w:val="000000"/>
                <w:sz w:val="18"/>
                <w:szCs w:val="18"/>
              </w:rPr>
              <w:t xml:space="preserve"> </w:t>
            </w:r>
            <w:r w:rsidR="0079595C" w:rsidRPr="0079595C">
              <w:rPr>
                <w:rFonts w:ascii="Arial" w:hAnsi="Arial" w:cs="Arial"/>
                <w:b/>
                <w:bCs/>
                <w:color w:val="000000"/>
                <w:sz w:val="18"/>
                <w:szCs w:val="18"/>
              </w:rPr>
              <w:t xml:space="preserve">assessment capabilities </w:t>
            </w:r>
            <w:r w:rsidR="0079595C" w:rsidRPr="0079595C">
              <w:rPr>
                <w:rFonts w:ascii="Arial" w:hAnsi="Arial" w:cs="Arial"/>
                <w:bCs/>
                <w:color w:val="000000"/>
                <w:sz w:val="18"/>
                <w:szCs w:val="18"/>
              </w:rPr>
              <w:t>to produce a report consisting of AD misconfigurations</w:t>
            </w:r>
            <w:r w:rsidR="0079595C">
              <w:rPr>
                <w:rFonts w:ascii="Arial" w:hAnsi="Arial" w:cs="Arial"/>
                <w:bCs/>
                <w:color w:val="000000"/>
                <w:sz w:val="18"/>
                <w:szCs w:val="18"/>
              </w:rPr>
              <w:t xml:space="preserve"> </w:t>
            </w:r>
            <w:r w:rsidR="007757FD">
              <w:rPr>
                <w:rFonts w:ascii="Arial" w:hAnsi="Arial" w:cs="Arial"/>
                <w:bCs/>
                <w:color w:val="000000"/>
                <w:sz w:val="18"/>
                <w:szCs w:val="18"/>
              </w:rPr>
              <w:t xml:space="preserve">and </w:t>
            </w:r>
            <w:r w:rsidR="0079595C" w:rsidRPr="0079595C">
              <w:rPr>
                <w:rFonts w:ascii="Arial" w:hAnsi="Arial" w:cs="Arial"/>
                <w:bCs/>
                <w:color w:val="000000"/>
                <w:sz w:val="18"/>
                <w:szCs w:val="18"/>
              </w:rPr>
              <w:t xml:space="preserve">vulnerabilities that may exist in your </w:t>
            </w:r>
            <w:r w:rsidR="0079595C">
              <w:rPr>
                <w:rFonts w:ascii="Arial" w:hAnsi="Arial" w:cs="Arial"/>
                <w:bCs/>
                <w:color w:val="000000"/>
                <w:sz w:val="18"/>
                <w:szCs w:val="18"/>
              </w:rPr>
              <w:t xml:space="preserve">customers’ </w:t>
            </w:r>
            <w:r w:rsidR="0079595C" w:rsidRPr="0079595C">
              <w:rPr>
                <w:rFonts w:ascii="Arial" w:hAnsi="Arial" w:cs="Arial"/>
                <w:bCs/>
                <w:color w:val="000000"/>
                <w:sz w:val="18"/>
                <w:szCs w:val="18"/>
              </w:rPr>
              <w:t>domain</w:t>
            </w:r>
            <w:r w:rsidR="0079595C">
              <w:rPr>
                <w:rFonts w:ascii="Arial" w:hAnsi="Arial" w:cs="Arial"/>
                <w:bCs/>
                <w:color w:val="000000"/>
                <w:sz w:val="18"/>
                <w:szCs w:val="18"/>
              </w:rPr>
              <w:t xml:space="preserve">s. </w:t>
            </w:r>
            <w:r>
              <w:rPr>
                <w:rFonts w:ascii="Arial" w:hAnsi="Arial" w:cs="Arial"/>
                <w:bCs/>
                <w:color w:val="000000"/>
                <w:sz w:val="18"/>
                <w:szCs w:val="18"/>
              </w:rPr>
              <w:t xml:space="preserve">It </w:t>
            </w:r>
            <w:r w:rsidR="00A07111" w:rsidRPr="007E3408">
              <w:rPr>
                <w:rFonts w:ascii="Arial" w:hAnsi="Arial" w:cs="Arial"/>
                <w:bCs/>
                <w:color w:val="000000"/>
                <w:sz w:val="18"/>
                <w:szCs w:val="18"/>
              </w:rPr>
              <w:t>can be installed in any environment and runs after inputting the passkey. It runs 14 checks and returns a report with an outline of the AD security</w:t>
            </w:r>
            <w:r w:rsidR="00783FD2" w:rsidRPr="007E3408">
              <w:rPr>
                <w:rFonts w:ascii="Arial" w:hAnsi="Arial" w:cs="Arial"/>
                <w:bCs/>
                <w:color w:val="000000"/>
                <w:sz w:val="18"/>
                <w:szCs w:val="18"/>
              </w:rPr>
              <w:t xml:space="preserve"> and any anomalies.</w:t>
            </w:r>
            <w:r w:rsidR="00A07111" w:rsidRPr="007E3408">
              <w:rPr>
                <w:rFonts w:ascii="Arial" w:hAnsi="Arial" w:cs="Arial"/>
                <w:bCs/>
                <w:color w:val="000000"/>
                <w:sz w:val="18"/>
                <w:szCs w:val="18"/>
              </w:rPr>
              <w:t xml:space="preserve"> The a</w:t>
            </w:r>
            <w:r w:rsidR="00EB0436" w:rsidRPr="007E3408">
              <w:rPr>
                <w:rFonts w:ascii="Arial" w:hAnsi="Arial" w:cs="Arial"/>
                <w:bCs/>
                <w:color w:val="000000"/>
                <w:sz w:val="18"/>
                <w:szCs w:val="18"/>
              </w:rPr>
              <w:t>s</w:t>
            </w:r>
            <w:r w:rsidR="00D8141E" w:rsidRPr="007E3408">
              <w:rPr>
                <w:rFonts w:ascii="Arial" w:hAnsi="Arial" w:cs="Arial"/>
                <w:bCs/>
                <w:color w:val="000000"/>
                <w:sz w:val="18"/>
                <w:szCs w:val="18"/>
              </w:rPr>
              <w:t>sessment</w:t>
            </w:r>
            <w:r w:rsidR="00A07111" w:rsidRPr="007E3408">
              <w:rPr>
                <w:rFonts w:ascii="Arial" w:hAnsi="Arial" w:cs="Arial"/>
                <w:bCs/>
                <w:color w:val="000000"/>
                <w:sz w:val="18"/>
                <w:szCs w:val="18"/>
              </w:rPr>
              <w:t xml:space="preserve"> comes in a zip file</w:t>
            </w:r>
            <w:r w:rsidR="00D8141E" w:rsidRPr="007E3408">
              <w:rPr>
                <w:rFonts w:ascii="Arial" w:hAnsi="Arial" w:cs="Arial"/>
                <w:bCs/>
                <w:color w:val="000000"/>
                <w:sz w:val="18"/>
                <w:szCs w:val="18"/>
              </w:rPr>
              <w:t xml:space="preserve"> can </w:t>
            </w:r>
            <w:r w:rsidR="00A07473" w:rsidRPr="007E3408">
              <w:rPr>
                <w:rFonts w:ascii="Arial" w:hAnsi="Arial" w:cs="Arial"/>
                <w:bCs/>
                <w:color w:val="000000"/>
                <w:sz w:val="18"/>
                <w:szCs w:val="18"/>
              </w:rPr>
              <w:t>be d</w:t>
            </w:r>
            <w:r>
              <w:rPr>
                <w:rFonts w:ascii="Arial" w:hAnsi="Arial" w:cs="Arial"/>
                <w:bCs/>
                <w:color w:val="000000"/>
                <w:sz w:val="18"/>
                <w:szCs w:val="18"/>
              </w:rPr>
              <w:t>ownloaded on the Partner Portal and provided to the customer.</w:t>
            </w:r>
          </w:p>
          <w:p w14:paraId="1022FD87" w14:textId="755F0876" w:rsidR="00EB0436" w:rsidRPr="007E3408" w:rsidRDefault="00EB0436" w:rsidP="00EB0436">
            <w:pPr>
              <w:rPr>
                <w:rFonts w:ascii="Arial" w:hAnsi="Arial" w:cs="Arial"/>
                <w:bCs/>
                <w:color w:val="000000"/>
                <w:sz w:val="18"/>
                <w:szCs w:val="18"/>
              </w:rPr>
            </w:pPr>
          </w:p>
        </w:tc>
      </w:tr>
      <w:tr w:rsidR="00EB0436" w:rsidRPr="007E3408" w14:paraId="2D9DDC51" w14:textId="77777777" w:rsidTr="00294391">
        <w:tc>
          <w:tcPr>
            <w:tcW w:w="8869" w:type="dxa"/>
            <w:gridSpan w:val="4"/>
            <w:shd w:val="clear" w:color="auto" w:fill="E7E6E6" w:themeFill="background2"/>
          </w:tcPr>
          <w:p w14:paraId="4937EA71" w14:textId="63913248" w:rsidR="00805211" w:rsidRPr="007E3408" w:rsidRDefault="00805211" w:rsidP="00805211">
            <w:pPr>
              <w:rPr>
                <w:rFonts w:ascii="Arial" w:hAnsi="Arial" w:cs="Arial"/>
                <w:b/>
                <w:bCs/>
                <w:sz w:val="18"/>
                <w:szCs w:val="18"/>
              </w:rPr>
            </w:pPr>
          </w:p>
          <w:p w14:paraId="5C57C142" w14:textId="6BD799E6" w:rsidR="00EB0436" w:rsidRPr="007E3408" w:rsidRDefault="00805211" w:rsidP="00805211">
            <w:pPr>
              <w:spacing w:line="360" w:lineRule="auto"/>
              <w:rPr>
                <w:rFonts w:ascii="Arial" w:hAnsi="Arial" w:cs="Arial"/>
                <w:b/>
                <w:bCs/>
                <w:sz w:val="18"/>
                <w:szCs w:val="18"/>
              </w:rPr>
            </w:pPr>
            <w:r w:rsidRPr="007E3408">
              <w:rPr>
                <w:rFonts w:ascii="Arial" w:hAnsi="Arial" w:cs="Arial"/>
                <w:b/>
                <w:bCs/>
                <w:sz w:val="18"/>
                <w:szCs w:val="18"/>
              </w:rPr>
              <w:t>Why Upgrade to SESC</w:t>
            </w:r>
          </w:p>
        </w:tc>
      </w:tr>
      <w:tr w:rsidR="00EB0436" w:rsidRPr="007E3408" w14:paraId="406EDDB5" w14:textId="77777777" w:rsidTr="00294391">
        <w:tc>
          <w:tcPr>
            <w:tcW w:w="1980" w:type="dxa"/>
          </w:tcPr>
          <w:p w14:paraId="54288C8D" w14:textId="236767BB" w:rsidR="00EB0436" w:rsidRPr="007E3408" w:rsidRDefault="00107EB4" w:rsidP="00EB0436">
            <w:pPr>
              <w:rPr>
                <w:rFonts w:ascii="Arial" w:hAnsi="Arial" w:cs="Arial"/>
                <w:b/>
                <w:bCs/>
                <w:color w:val="4472C4" w:themeColor="accent1"/>
                <w:sz w:val="18"/>
                <w:szCs w:val="18"/>
                <w:u w:val="single"/>
              </w:rPr>
            </w:pPr>
            <w:hyperlink r:id="rId33" w:history="1">
              <w:r w:rsidR="00EB0436" w:rsidRPr="007E3408">
                <w:rPr>
                  <w:rStyle w:val="Hyperlink"/>
                  <w:rFonts w:cs="Arial"/>
                  <w:bCs/>
                  <w:color w:val="4472C4" w:themeColor="accent1"/>
                  <w:sz w:val="18"/>
                  <w:szCs w:val="18"/>
                  <w:u w:val="single"/>
                </w:rPr>
                <w:t>Benefits of Upgrading Your Endpoint Solution Today</w:t>
              </w:r>
            </w:hyperlink>
          </w:p>
          <w:p w14:paraId="1C19D303" w14:textId="0F65C27F" w:rsidR="00EB0436" w:rsidRPr="007E3408" w:rsidRDefault="00EB0436" w:rsidP="00EB0436">
            <w:pPr>
              <w:rPr>
                <w:rFonts w:ascii="Arial" w:hAnsi="Arial" w:cs="Arial"/>
                <w:b/>
                <w:bCs/>
                <w:color w:val="4472C4" w:themeColor="accent1"/>
                <w:sz w:val="18"/>
                <w:szCs w:val="18"/>
              </w:rPr>
            </w:pPr>
          </w:p>
        </w:tc>
        <w:tc>
          <w:tcPr>
            <w:tcW w:w="1559" w:type="dxa"/>
            <w:gridSpan w:val="2"/>
          </w:tcPr>
          <w:p w14:paraId="25C0EDC9" w14:textId="180CDDB2" w:rsidR="00EB0436" w:rsidRPr="007E3408" w:rsidRDefault="00EB0436" w:rsidP="00EB0436">
            <w:pPr>
              <w:rPr>
                <w:rFonts w:ascii="Arial" w:hAnsi="Arial" w:cs="Arial"/>
                <w:bCs/>
                <w:sz w:val="18"/>
                <w:szCs w:val="18"/>
              </w:rPr>
            </w:pPr>
            <w:r w:rsidRPr="007E3408">
              <w:rPr>
                <w:rFonts w:ascii="Arial" w:hAnsi="Arial" w:cs="Arial"/>
                <w:bCs/>
                <w:color w:val="000000"/>
                <w:sz w:val="18"/>
                <w:szCs w:val="18"/>
              </w:rPr>
              <w:t>White Paper</w:t>
            </w:r>
            <w:r w:rsidR="00185C07">
              <w:rPr>
                <w:rFonts w:ascii="Arial" w:hAnsi="Arial" w:cs="Arial"/>
                <w:bCs/>
                <w:color w:val="000000"/>
                <w:sz w:val="18"/>
                <w:szCs w:val="18"/>
              </w:rPr>
              <w:t xml:space="preserve"> </w:t>
            </w:r>
            <w:r w:rsidR="00185C07" w:rsidRPr="005D372C">
              <w:rPr>
                <w:rFonts w:ascii="Arial" w:hAnsi="Arial" w:cs="Arial"/>
                <w:bCs/>
                <w:i/>
                <w:color w:val="C00000"/>
                <w:sz w:val="18"/>
                <w:szCs w:val="18"/>
              </w:rPr>
              <w:t>(CTA)</w:t>
            </w:r>
          </w:p>
        </w:tc>
        <w:tc>
          <w:tcPr>
            <w:tcW w:w="5330" w:type="dxa"/>
          </w:tcPr>
          <w:p w14:paraId="6D27B4E5" w14:textId="46908F03" w:rsidR="00EB0436" w:rsidRPr="007E3408" w:rsidRDefault="00EB0436" w:rsidP="00EB0436">
            <w:pPr>
              <w:rPr>
                <w:rFonts w:ascii="Arial" w:hAnsi="Arial" w:cs="Arial"/>
                <w:b/>
                <w:bCs/>
                <w:color w:val="000000"/>
                <w:sz w:val="18"/>
                <w:szCs w:val="18"/>
              </w:rPr>
            </w:pPr>
            <w:r w:rsidRPr="007E3408">
              <w:rPr>
                <w:rFonts w:ascii="Arial" w:hAnsi="Arial" w:cs="Arial"/>
                <w:bCs/>
                <w:color w:val="000000"/>
                <w:sz w:val="18"/>
                <w:szCs w:val="18"/>
              </w:rPr>
              <w:t>Symantec Endpoint Security Complete delivers the most complete and integrated endpoint security platform to protect your customers’ traditional and mobile endpoints. SESC combines all of Symantec’s endpoint security technology including SEP, EDR,</w:t>
            </w:r>
            <w:r w:rsidR="00A07111" w:rsidRPr="007E3408">
              <w:rPr>
                <w:rFonts w:ascii="Arial" w:hAnsi="Arial" w:cs="Arial"/>
                <w:b/>
                <w:bCs/>
                <w:color w:val="000000"/>
                <w:sz w:val="18"/>
                <w:szCs w:val="18"/>
              </w:rPr>
              <w:t xml:space="preserve"> </w:t>
            </w:r>
            <w:r w:rsidRPr="007E3408">
              <w:rPr>
                <w:rFonts w:ascii="Arial" w:hAnsi="Arial" w:cs="Arial"/>
                <w:bCs/>
                <w:color w:val="000000"/>
                <w:sz w:val="18"/>
                <w:szCs w:val="18"/>
              </w:rPr>
              <w:t xml:space="preserve">Mobile Threat Defense, Active Directory Defense, Behavioral Isolation, App Control and Threat Hunting – all in one package and one price. </w:t>
            </w:r>
          </w:p>
          <w:p w14:paraId="756F0DBC" w14:textId="7A8355F0" w:rsidR="00EB0436" w:rsidRPr="007E3408" w:rsidRDefault="00EB0436" w:rsidP="00EB0436">
            <w:pPr>
              <w:rPr>
                <w:rFonts w:ascii="Arial" w:hAnsi="Arial" w:cs="Arial"/>
                <w:b/>
                <w:bCs/>
                <w:sz w:val="18"/>
                <w:szCs w:val="18"/>
              </w:rPr>
            </w:pPr>
          </w:p>
        </w:tc>
      </w:tr>
      <w:tr w:rsidR="00391373" w:rsidRPr="007E3408" w14:paraId="79A24994" w14:textId="77777777" w:rsidTr="00294391">
        <w:tc>
          <w:tcPr>
            <w:tcW w:w="1980" w:type="dxa"/>
          </w:tcPr>
          <w:p w14:paraId="324847B7" w14:textId="27C60515" w:rsidR="00391373" w:rsidRPr="007E3408" w:rsidRDefault="00107EB4" w:rsidP="00EB0436">
            <w:hyperlink r:id="rId34" w:history="1">
              <w:r w:rsidR="00391373" w:rsidRPr="007E3408">
                <w:rPr>
                  <w:rStyle w:val="Hyperlink"/>
                  <w:rFonts w:cs="Arial"/>
                  <w:bCs/>
                  <w:color w:val="4472C4" w:themeColor="accent1"/>
                  <w:sz w:val="18"/>
                  <w:szCs w:val="18"/>
                  <w:u w:val="single"/>
                </w:rPr>
                <w:t>SESC Overview</w:t>
              </w:r>
            </w:hyperlink>
          </w:p>
        </w:tc>
        <w:tc>
          <w:tcPr>
            <w:tcW w:w="1559" w:type="dxa"/>
            <w:gridSpan w:val="2"/>
          </w:tcPr>
          <w:p w14:paraId="65672EBA" w14:textId="77921D68" w:rsidR="00391373" w:rsidRPr="007E3408" w:rsidRDefault="00391373" w:rsidP="00EB0436">
            <w:pPr>
              <w:rPr>
                <w:rFonts w:ascii="Arial" w:hAnsi="Arial" w:cs="Arial"/>
                <w:bCs/>
                <w:color w:val="000000"/>
                <w:sz w:val="18"/>
                <w:szCs w:val="18"/>
              </w:rPr>
            </w:pPr>
            <w:r w:rsidRPr="007E3408">
              <w:rPr>
                <w:rFonts w:ascii="Arial" w:hAnsi="Arial" w:cs="Arial"/>
                <w:bCs/>
                <w:color w:val="000000"/>
                <w:sz w:val="18"/>
                <w:szCs w:val="18"/>
              </w:rPr>
              <w:t>Product Sheet</w:t>
            </w:r>
            <w:r w:rsidR="00185C07">
              <w:rPr>
                <w:rFonts w:ascii="Arial" w:hAnsi="Arial" w:cs="Arial"/>
                <w:bCs/>
                <w:color w:val="000000"/>
                <w:sz w:val="18"/>
                <w:szCs w:val="18"/>
              </w:rPr>
              <w:t xml:space="preserve"> </w:t>
            </w:r>
            <w:r w:rsidR="00185C07" w:rsidRPr="005D372C">
              <w:rPr>
                <w:rFonts w:ascii="Arial" w:hAnsi="Arial" w:cs="Arial"/>
                <w:bCs/>
                <w:i/>
                <w:color w:val="C00000"/>
                <w:sz w:val="18"/>
                <w:szCs w:val="18"/>
              </w:rPr>
              <w:t>(CTA)</w:t>
            </w:r>
          </w:p>
          <w:p w14:paraId="19F3F7D9" w14:textId="159DE502" w:rsidR="00391373" w:rsidRPr="007E3408" w:rsidRDefault="00391373" w:rsidP="00EB0436">
            <w:pPr>
              <w:rPr>
                <w:rFonts w:ascii="Arial" w:hAnsi="Arial" w:cs="Arial"/>
                <w:bCs/>
                <w:color w:val="000000"/>
                <w:sz w:val="18"/>
                <w:szCs w:val="18"/>
              </w:rPr>
            </w:pPr>
          </w:p>
        </w:tc>
        <w:tc>
          <w:tcPr>
            <w:tcW w:w="5330" w:type="dxa"/>
          </w:tcPr>
          <w:p w14:paraId="3312F314" w14:textId="5C8B7B29" w:rsidR="00391373" w:rsidRPr="007E3408" w:rsidRDefault="00391373" w:rsidP="00391373">
            <w:pPr>
              <w:rPr>
                <w:rFonts w:ascii="Arial" w:hAnsi="Arial" w:cs="Arial"/>
                <w:bCs/>
                <w:color w:val="000000"/>
                <w:sz w:val="18"/>
                <w:szCs w:val="18"/>
              </w:rPr>
            </w:pPr>
            <w:r w:rsidRPr="007E3408">
              <w:rPr>
                <w:rFonts w:ascii="Arial" w:hAnsi="Arial" w:cs="Arial"/>
                <w:bCs/>
                <w:color w:val="000000"/>
                <w:sz w:val="18"/>
                <w:szCs w:val="18"/>
              </w:rPr>
              <w:t>As an on premise, hybrid, or cloud-based solution, the single-agent Symantec SESC platform protects all traditional and mobile endpoints, providing interlocking defenses at the device, application, and network level, and uses artificial intelligence (AI) to optimize security decisions. A unified cloud based management system simplifies protecting, detecting, and responding to all the advanced threats targeting your endpoints.</w:t>
            </w:r>
          </w:p>
          <w:p w14:paraId="3F77FFEF" w14:textId="77777777" w:rsidR="00391373" w:rsidRPr="007E3408" w:rsidRDefault="00391373" w:rsidP="00EB0436">
            <w:pPr>
              <w:rPr>
                <w:rFonts w:ascii="Arial" w:hAnsi="Arial" w:cs="Arial"/>
                <w:bCs/>
                <w:color w:val="000000"/>
                <w:sz w:val="18"/>
                <w:szCs w:val="18"/>
              </w:rPr>
            </w:pPr>
          </w:p>
        </w:tc>
      </w:tr>
      <w:tr w:rsidR="00294391" w:rsidRPr="007E3408" w14:paraId="3AD566A1" w14:textId="77777777" w:rsidTr="00294391">
        <w:tc>
          <w:tcPr>
            <w:tcW w:w="1980" w:type="dxa"/>
          </w:tcPr>
          <w:p w14:paraId="404B9F14" w14:textId="004CE3E5" w:rsidR="00294391" w:rsidRPr="007E3408" w:rsidRDefault="00107EB4" w:rsidP="00294391">
            <w:hyperlink r:id="rId35" w:history="1">
              <w:r w:rsidR="00294391" w:rsidRPr="007E3408">
                <w:rPr>
                  <w:rStyle w:val="Hyperlink"/>
                  <w:rFonts w:cs="Arial"/>
                  <w:bCs/>
                  <w:color w:val="4472C4" w:themeColor="accent1"/>
                  <w:sz w:val="18"/>
                  <w:szCs w:val="18"/>
                  <w:u w:val="single"/>
                </w:rPr>
                <w:t>Feature Comparison Chart</w:t>
              </w:r>
            </w:hyperlink>
          </w:p>
        </w:tc>
        <w:tc>
          <w:tcPr>
            <w:tcW w:w="1559" w:type="dxa"/>
            <w:gridSpan w:val="2"/>
          </w:tcPr>
          <w:p w14:paraId="3022AA1E" w14:textId="20CF6A23" w:rsidR="00294391" w:rsidRPr="007E3408" w:rsidRDefault="00294391" w:rsidP="00294391">
            <w:pPr>
              <w:rPr>
                <w:rFonts w:ascii="Arial" w:hAnsi="Arial" w:cs="Arial"/>
                <w:bCs/>
                <w:color w:val="000000"/>
                <w:sz w:val="18"/>
                <w:szCs w:val="18"/>
              </w:rPr>
            </w:pPr>
            <w:r w:rsidRPr="007E3408">
              <w:rPr>
                <w:rFonts w:ascii="Arial" w:hAnsi="Arial" w:cs="Arial"/>
                <w:bCs/>
                <w:color w:val="000000"/>
                <w:sz w:val="18"/>
                <w:szCs w:val="18"/>
              </w:rPr>
              <w:t>Battle Card</w:t>
            </w:r>
          </w:p>
        </w:tc>
        <w:tc>
          <w:tcPr>
            <w:tcW w:w="5330" w:type="dxa"/>
          </w:tcPr>
          <w:p w14:paraId="50277F0E" w14:textId="77777777" w:rsidR="00294391" w:rsidRPr="007E3408" w:rsidRDefault="00294391" w:rsidP="00294391">
            <w:pPr>
              <w:rPr>
                <w:rFonts w:ascii="Arial" w:hAnsi="Arial" w:cs="Arial"/>
                <w:bCs/>
                <w:color w:val="000000"/>
                <w:sz w:val="18"/>
                <w:szCs w:val="18"/>
              </w:rPr>
            </w:pPr>
            <w:r w:rsidRPr="007E3408">
              <w:rPr>
                <w:rFonts w:ascii="Arial" w:hAnsi="Arial" w:cs="Arial"/>
                <w:bCs/>
                <w:color w:val="000000"/>
                <w:sz w:val="18"/>
                <w:szCs w:val="18"/>
              </w:rPr>
              <w:t>Easy-to-read chart with a feature comparison overview of SEP, SES Enterprise and SES Complete</w:t>
            </w:r>
          </w:p>
          <w:p w14:paraId="3CE5114C" w14:textId="77777777" w:rsidR="00294391" w:rsidRPr="007E3408" w:rsidRDefault="00294391" w:rsidP="00294391">
            <w:pPr>
              <w:rPr>
                <w:rFonts w:ascii="Arial" w:hAnsi="Arial" w:cs="Arial"/>
                <w:bCs/>
                <w:color w:val="000000"/>
                <w:sz w:val="18"/>
                <w:szCs w:val="18"/>
              </w:rPr>
            </w:pPr>
          </w:p>
        </w:tc>
      </w:tr>
      <w:tr w:rsidR="00294391" w:rsidRPr="007E3408" w14:paraId="074343A2" w14:textId="77777777" w:rsidTr="00294391">
        <w:tc>
          <w:tcPr>
            <w:tcW w:w="1980" w:type="dxa"/>
          </w:tcPr>
          <w:p w14:paraId="25F34444" w14:textId="7B0A8342" w:rsidR="00294391" w:rsidRPr="007E3408" w:rsidRDefault="00107EB4" w:rsidP="00294391">
            <w:pPr>
              <w:rPr>
                <w:rStyle w:val="Hyperlink"/>
                <w:bCs/>
                <w:color w:val="4472C4" w:themeColor="accent1"/>
                <w:u w:val="single"/>
              </w:rPr>
            </w:pPr>
            <w:hyperlink r:id="rId36" w:history="1">
              <w:r w:rsidR="00294391" w:rsidRPr="007E3408">
                <w:rPr>
                  <w:rStyle w:val="Hyperlink"/>
                  <w:rFonts w:cs="Arial"/>
                  <w:bCs/>
                  <w:color w:val="4472C4" w:themeColor="accent1"/>
                  <w:sz w:val="18"/>
                  <w:szCs w:val="18"/>
                  <w:u w:val="single"/>
                </w:rPr>
                <w:t>Symantec Endpoint Protection Discovery Guide</w:t>
              </w:r>
            </w:hyperlink>
          </w:p>
          <w:p w14:paraId="6EE2038E" w14:textId="5C438933" w:rsidR="00294391" w:rsidRPr="007E3408" w:rsidRDefault="00294391" w:rsidP="00294391">
            <w:pPr>
              <w:rPr>
                <w:rFonts w:ascii="Arial" w:hAnsi="Arial" w:cs="Arial"/>
                <w:sz w:val="18"/>
                <w:szCs w:val="18"/>
              </w:rPr>
            </w:pPr>
          </w:p>
        </w:tc>
        <w:tc>
          <w:tcPr>
            <w:tcW w:w="1559" w:type="dxa"/>
            <w:gridSpan w:val="2"/>
          </w:tcPr>
          <w:p w14:paraId="6FAF4B74" w14:textId="510A05B9" w:rsidR="00294391" w:rsidRPr="007E3408" w:rsidRDefault="00294391" w:rsidP="00294391">
            <w:pPr>
              <w:rPr>
                <w:rFonts w:ascii="Arial" w:hAnsi="Arial" w:cs="Arial"/>
                <w:bCs/>
                <w:color w:val="000000"/>
                <w:sz w:val="18"/>
                <w:szCs w:val="18"/>
              </w:rPr>
            </w:pPr>
            <w:r w:rsidRPr="007E3408">
              <w:rPr>
                <w:rFonts w:ascii="Arial" w:hAnsi="Arial" w:cs="Arial"/>
                <w:bCs/>
                <w:color w:val="000000"/>
                <w:sz w:val="18"/>
                <w:szCs w:val="18"/>
              </w:rPr>
              <w:t>Selling and Positioning Enablement</w:t>
            </w:r>
          </w:p>
        </w:tc>
        <w:tc>
          <w:tcPr>
            <w:tcW w:w="5330" w:type="dxa"/>
          </w:tcPr>
          <w:p w14:paraId="32EE9E7F" w14:textId="34CDD0E3" w:rsidR="00294391" w:rsidRPr="007E3408" w:rsidRDefault="00294391" w:rsidP="00294391">
            <w:pPr>
              <w:rPr>
                <w:rFonts w:ascii="Arial" w:hAnsi="Arial" w:cs="Arial"/>
                <w:bCs/>
                <w:color w:val="000000"/>
                <w:sz w:val="18"/>
                <w:szCs w:val="18"/>
              </w:rPr>
            </w:pPr>
            <w:r w:rsidRPr="007E3408">
              <w:rPr>
                <w:rFonts w:ascii="Arial" w:hAnsi="Arial" w:cs="Arial"/>
                <w:bCs/>
                <w:color w:val="000000"/>
                <w:sz w:val="18"/>
                <w:szCs w:val="18"/>
              </w:rPr>
              <w:t xml:space="preserve">Symantec Endpoint Security </w:t>
            </w:r>
            <w:r w:rsidRPr="005E5D81">
              <w:rPr>
                <w:rFonts w:ascii="Arial" w:hAnsi="Arial" w:cs="Arial"/>
                <w:bCs/>
                <w:color w:val="000000"/>
                <w:sz w:val="18"/>
                <w:szCs w:val="18"/>
              </w:rPr>
              <w:t>selling and positioning guide</w:t>
            </w:r>
            <w:r w:rsidRPr="007E3408">
              <w:rPr>
                <w:rFonts w:ascii="Arial" w:hAnsi="Arial" w:cs="Arial"/>
                <w:bCs/>
                <w:color w:val="000000"/>
                <w:sz w:val="18"/>
                <w:szCs w:val="18"/>
              </w:rPr>
              <w:t>.</w:t>
            </w:r>
            <w:r w:rsidR="00382A5E">
              <w:rPr>
                <w:rFonts w:ascii="Arial" w:hAnsi="Arial" w:cs="Arial"/>
                <w:bCs/>
                <w:color w:val="000000"/>
                <w:sz w:val="18"/>
                <w:szCs w:val="18"/>
              </w:rPr>
              <w:t xml:space="preserve"> </w:t>
            </w:r>
            <w:r w:rsidR="005E5D81">
              <w:rPr>
                <w:rFonts w:ascii="Arial" w:hAnsi="Arial" w:cs="Arial"/>
                <w:bCs/>
                <w:color w:val="000000"/>
                <w:sz w:val="18"/>
                <w:szCs w:val="18"/>
              </w:rPr>
              <w:t>This is not a CTA for end-users,</w:t>
            </w:r>
            <w:r w:rsidR="00382A5E">
              <w:rPr>
                <w:rFonts w:ascii="Arial" w:hAnsi="Arial" w:cs="Arial"/>
                <w:bCs/>
                <w:color w:val="000000"/>
                <w:sz w:val="18"/>
                <w:szCs w:val="18"/>
              </w:rPr>
              <w:t xml:space="preserve"> this is a selling and messaging guide.</w:t>
            </w:r>
          </w:p>
        </w:tc>
      </w:tr>
      <w:tr w:rsidR="00294391" w:rsidRPr="007E3408" w14:paraId="173E48BC" w14:textId="77777777" w:rsidTr="00294391">
        <w:tc>
          <w:tcPr>
            <w:tcW w:w="1980" w:type="dxa"/>
          </w:tcPr>
          <w:p w14:paraId="1B6F37BA" w14:textId="7D29BF89" w:rsidR="00294391" w:rsidRPr="007E3408" w:rsidRDefault="00107EB4" w:rsidP="00601F61">
            <w:pPr>
              <w:rPr>
                <w:rFonts w:ascii="Arial" w:hAnsi="Arial" w:cs="Arial"/>
                <w:bCs/>
                <w:sz w:val="18"/>
                <w:szCs w:val="18"/>
              </w:rPr>
            </w:pPr>
            <w:hyperlink r:id="rId37" w:history="1">
              <w:r w:rsidR="00601F61" w:rsidRPr="007E3408">
                <w:rPr>
                  <w:rStyle w:val="Hyperlink"/>
                  <w:rFonts w:cs="Arial"/>
                  <w:bCs/>
                  <w:color w:val="4472C4" w:themeColor="accent1"/>
                  <w:sz w:val="18"/>
                  <w:szCs w:val="18"/>
                  <w:u w:val="single"/>
                </w:rPr>
                <w:t>Reinventing Enterprise Security</w:t>
              </w:r>
            </w:hyperlink>
            <w:r w:rsidR="00601F61" w:rsidRPr="007E3408">
              <w:rPr>
                <w:rFonts w:ascii="Arial" w:hAnsi="Arial" w:cs="Arial"/>
                <w:bCs/>
                <w:sz w:val="18"/>
                <w:szCs w:val="18"/>
              </w:rPr>
              <w:t xml:space="preserve"> </w:t>
            </w:r>
          </w:p>
        </w:tc>
        <w:tc>
          <w:tcPr>
            <w:tcW w:w="1559" w:type="dxa"/>
            <w:gridSpan w:val="2"/>
          </w:tcPr>
          <w:p w14:paraId="14B98DC0" w14:textId="21C9BBFB" w:rsidR="00294391" w:rsidRPr="007E3408" w:rsidRDefault="00601F61" w:rsidP="00294391">
            <w:pPr>
              <w:rPr>
                <w:rFonts w:ascii="Arial" w:hAnsi="Arial" w:cs="Arial"/>
                <w:bCs/>
                <w:color w:val="000000"/>
                <w:sz w:val="18"/>
                <w:szCs w:val="18"/>
              </w:rPr>
            </w:pPr>
            <w:r w:rsidRPr="007E3408">
              <w:rPr>
                <w:rFonts w:ascii="Arial" w:hAnsi="Arial" w:cs="Arial"/>
                <w:bCs/>
                <w:color w:val="000000"/>
                <w:sz w:val="18"/>
                <w:szCs w:val="18"/>
              </w:rPr>
              <w:t>Blog</w:t>
            </w:r>
          </w:p>
        </w:tc>
        <w:tc>
          <w:tcPr>
            <w:tcW w:w="5330" w:type="dxa"/>
          </w:tcPr>
          <w:p w14:paraId="2D7FB48D" w14:textId="5B7AC217" w:rsidR="00294391" w:rsidRPr="007E3408" w:rsidRDefault="00601F61" w:rsidP="00294391">
            <w:pPr>
              <w:rPr>
                <w:rFonts w:ascii="Arial" w:hAnsi="Arial" w:cs="Arial"/>
                <w:bCs/>
                <w:color w:val="000000"/>
                <w:sz w:val="18"/>
                <w:szCs w:val="18"/>
              </w:rPr>
            </w:pPr>
            <w:r w:rsidRPr="007E3408">
              <w:rPr>
                <w:rFonts w:ascii="Arial" w:hAnsi="Arial" w:cs="Arial"/>
                <w:bCs/>
                <w:color w:val="000000"/>
                <w:sz w:val="18"/>
                <w:szCs w:val="18"/>
              </w:rPr>
              <w:t xml:space="preserve">Learn about Symantec's endpoint innovation strategy to stay ahead of attackers. See other </w:t>
            </w:r>
            <w:hyperlink r:id="rId38" w:history="1">
              <w:r w:rsidRPr="007E3408">
                <w:rPr>
                  <w:rStyle w:val="Hyperlink"/>
                  <w:rFonts w:cs="Arial"/>
                  <w:bCs/>
                  <w:color w:val="4472C4" w:themeColor="accent1"/>
                  <w:sz w:val="18"/>
                  <w:szCs w:val="18"/>
                  <w:u w:val="single"/>
                </w:rPr>
                <w:t>Blogs here</w:t>
              </w:r>
            </w:hyperlink>
            <w:r w:rsidRPr="007E3408">
              <w:rPr>
                <w:rFonts w:ascii="Arial" w:hAnsi="Arial" w:cs="Arial"/>
                <w:bCs/>
                <w:color w:val="000000"/>
                <w:sz w:val="18"/>
                <w:szCs w:val="18"/>
              </w:rPr>
              <w:t xml:space="preserve"> and </w:t>
            </w:r>
            <w:hyperlink r:id="rId39" w:history="1">
              <w:r w:rsidRPr="007E3408">
                <w:rPr>
                  <w:rStyle w:val="Hyperlink"/>
                  <w:rFonts w:cs="Arial"/>
                  <w:bCs/>
                  <w:color w:val="4472C4" w:themeColor="accent1"/>
                  <w:sz w:val="18"/>
                  <w:szCs w:val="18"/>
                  <w:u w:val="single"/>
                </w:rPr>
                <w:t>here</w:t>
              </w:r>
            </w:hyperlink>
            <w:r w:rsidRPr="007E3408">
              <w:rPr>
                <w:rFonts w:ascii="Arial" w:hAnsi="Arial" w:cs="Arial"/>
                <w:bCs/>
                <w:color w:val="000000"/>
                <w:sz w:val="18"/>
                <w:szCs w:val="18"/>
              </w:rPr>
              <w:t>.</w:t>
            </w:r>
          </w:p>
        </w:tc>
      </w:tr>
    </w:tbl>
    <w:p w14:paraId="32C233BC" w14:textId="64401817" w:rsidR="005512DB" w:rsidRPr="007E3408" w:rsidRDefault="005512DB" w:rsidP="005C741D">
      <w:pPr>
        <w:spacing w:after="0"/>
        <w:rPr>
          <w:b/>
          <w:bCs/>
        </w:rPr>
      </w:pPr>
    </w:p>
    <w:p w14:paraId="57FB3E01" w14:textId="03B46E99" w:rsidR="005512DB" w:rsidRPr="007E3408" w:rsidRDefault="005512DB" w:rsidP="005512DB">
      <w:pPr>
        <w:rPr>
          <w:b/>
          <w:bCs/>
        </w:rPr>
      </w:pPr>
    </w:p>
    <w:p w14:paraId="32EAE721" w14:textId="01E50811" w:rsidR="005512DB" w:rsidRPr="007E3408" w:rsidRDefault="005512DB" w:rsidP="005512DB">
      <w:pPr>
        <w:rPr>
          <w:b/>
          <w:bCs/>
        </w:rPr>
      </w:pPr>
    </w:p>
    <w:p w14:paraId="5230522C" w14:textId="4A7320FC" w:rsidR="005512DB" w:rsidRPr="00831E8E" w:rsidRDefault="00073006" w:rsidP="005512DB">
      <w:pPr>
        <w:tabs>
          <w:tab w:val="left" w:pos="3299"/>
        </w:tabs>
        <w:rPr>
          <w:b/>
          <w:bCs/>
        </w:rPr>
      </w:pPr>
      <w:r w:rsidRPr="007E3408">
        <w:rPr>
          <w:b/>
          <w:bCs/>
          <w:noProof/>
          <w:lang w:eastAsia="en-GB"/>
        </w:rPr>
        <w:drawing>
          <wp:anchor distT="0" distB="0" distL="114300" distR="114300" simplePos="0" relativeHeight="251660288" behindDoc="0" locked="0" layoutInCell="1" allowOverlap="1" wp14:anchorId="6F4DA164" wp14:editId="69EF76DF">
            <wp:simplePos x="0" y="0"/>
            <wp:positionH relativeFrom="column">
              <wp:posOffset>42545</wp:posOffset>
            </wp:positionH>
            <wp:positionV relativeFrom="paragraph">
              <wp:posOffset>7503795</wp:posOffset>
            </wp:positionV>
            <wp:extent cx="1799782" cy="558718"/>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99782" cy="55871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512DB" w:rsidRPr="00831E8E">
        <w:rPr>
          <w:bCs/>
        </w:rPr>
        <w:tab/>
      </w:r>
    </w:p>
    <w:sectPr w:rsidR="005512DB" w:rsidRPr="00831E8E" w:rsidSect="00F734E0">
      <w:headerReference w:type="even" r:id="rId40"/>
      <w:headerReference w:type="default" r:id="rId41"/>
      <w:footerReference w:type="even" r:id="rId42"/>
      <w:footerReference w:type="default" r:id="rId43"/>
      <w:headerReference w:type="first" r:id="rId44"/>
      <w:footerReference w:type="first" r:id="rId45"/>
      <w:pgSz w:w="11906" w:h="16838"/>
      <w:pgMar w:top="1440" w:right="1440" w:bottom="284" w:left="1440" w:header="708"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F55B9F" w14:textId="77777777" w:rsidR="00107EB4" w:rsidRDefault="00107EB4" w:rsidP="00EF3D82">
      <w:pPr>
        <w:spacing w:after="0" w:line="240" w:lineRule="auto"/>
      </w:pPr>
      <w:r>
        <w:separator/>
      </w:r>
    </w:p>
  </w:endnote>
  <w:endnote w:type="continuationSeparator" w:id="0">
    <w:p w14:paraId="5024293A" w14:textId="77777777" w:rsidR="00107EB4" w:rsidRDefault="00107EB4" w:rsidP="00EF3D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AF8A5" w14:textId="77777777" w:rsidR="008C0917" w:rsidRDefault="008C09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309C4" w14:textId="1C11C3AB" w:rsidR="00F734E0" w:rsidRDefault="00F734E0">
    <w:pPr>
      <w:pStyle w:val="Footer"/>
      <w:rPr>
        <w:rFonts w:ascii="Arial" w:hAnsi="Arial" w:cs="Arial"/>
        <w:b/>
        <w:bCs/>
        <w:sz w:val="16"/>
        <w:szCs w:val="16"/>
        <w:lang w:val="en-US"/>
      </w:rPr>
    </w:pPr>
    <w:r w:rsidRPr="00F734E0">
      <w:rPr>
        <w:rFonts w:ascii="Arial" w:hAnsi="Arial" w:cs="Arial"/>
        <w:b/>
        <w:bCs/>
        <w:noProof/>
        <w:color w:val="FF0000"/>
        <w:sz w:val="16"/>
        <w:szCs w:val="16"/>
        <w:lang w:eastAsia="en-GB"/>
      </w:rPr>
      <mc:AlternateContent>
        <mc:Choice Requires="wps">
          <w:drawing>
            <wp:anchor distT="0" distB="0" distL="114300" distR="114300" simplePos="0" relativeHeight="251664384" behindDoc="0" locked="0" layoutInCell="1" allowOverlap="1" wp14:anchorId="708C37A2" wp14:editId="1F067A63">
              <wp:simplePos x="0" y="0"/>
              <wp:positionH relativeFrom="column">
                <wp:posOffset>-1</wp:posOffset>
              </wp:positionH>
              <wp:positionV relativeFrom="paragraph">
                <wp:posOffset>49584</wp:posOffset>
              </wp:positionV>
              <wp:extent cx="7851913" cy="0"/>
              <wp:effectExtent l="0" t="0" r="0" b="0"/>
              <wp:wrapNone/>
              <wp:docPr id="21" name="Straight Connector 21"/>
              <wp:cNvGraphicFramePr/>
              <a:graphic xmlns:a="http://schemas.openxmlformats.org/drawingml/2006/main">
                <a:graphicData uri="http://schemas.microsoft.com/office/word/2010/wordprocessingShape">
                  <wps:wsp>
                    <wps:cNvCnPr/>
                    <wps:spPr>
                      <a:xfrm flipV="1">
                        <a:off x="0" y="0"/>
                        <a:ext cx="7851913" cy="0"/>
                      </a:xfrm>
                      <a:prstGeom prst="line">
                        <a:avLst/>
                      </a:prstGeom>
                      <a:ln>
                        <a:solidFill>
                          <a:srgbClr val="D1042F"/>
                        </a:solidFill>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07A03ED" id="Straight Connector 21"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3.9pt" to="618.25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0XD3QEAAAQEAAAOAAAAZHJzL2Uyb0RvYy54bWysU02P0zAQvSPxHyzfaT6Wj92o6R5alQuC&#10;igXurmMnFv7S2DTpv2fstNkVoD2suFgee96bec/j9f1kNDkJCMrZllarkhJhueuU7Vv6/dv+zS0l&#10;ITLbMe2saOlZBHq/ef1qPfpG1G5wuhNAkMSGZvQtHWL0TVEEPgjDwsp5YfFSOjAsYgh90QEbkd3o&#10;oi7L98XooPPguAgBT3fzJd1kfikFj1+kDCIS3VLsLeYV8npMa7FZs6YH5gfFL22wF3RhmLJYdKHa&#10;scjIL1B/URnFwQUn44o7UzgpFRdZA6qpyj/UPAzMi6wFzQl+sSn8P1r++XQAorqW1hUllhl8o4cI&#10;TPVDJFtnLTrogOAlOjX60CBgaw9wiYI/QJI9STBEauV/4BBkI1AambLP58VnMUXC8fDD7bvqrrqh&#10;hF/vipkiUXkI8aNwhqRNS7WyyQLWsNOnELEspl5T0rG2aQ1Oq26vtM4B9MetBnJi+Oi7qnxb71P3&#10;CHyShlGCFknTrCLv4lmLmfarkOgLdnuTy+eJFAtt9zM7klkwM0Ekll9A5fOgS26CiTylC7B+Hrhk&#10;54rOxgVolHXwL3Ccrq3KOf+qetaaZB9dd85vmu3AUctuXb5FmuWncYY/ft7NbwAAAP//AwBQSwME&#10;FAAGAAgAAAAhAJ3fETHaAAAABQEAAA8AAABkcnMvZG93bnJldi54bWxMj81OwzAQhO9IvIO1SFxQ&#10;6xBEgRCnqvi7opQWcdzESxJhr6PYbc3b43KB486MZr4tl9EasafJD44VXM4zEMSt0wN3CjZvz7Nb&#10;ED4gazSOScE3eVhWpyclFtoduKb9OnQilbAvUEEfwlhI6dueLPq5G4mT9+kmiyGdUyf1hIdUbo3M&#10;s2whLQ6cFnoc6aGn9mu9swoeo++3F82Heb1rtk8vmNer9zoqdX4WV/cgAsXwF4YjfkKHKjE1bsfa&#10;C6MgPRIU3CT8o5lfLa5BNL+CrEr5n776AQAA//8DAFBLAQItABQABgAIAAAAIQC2gziS/gAAAOEB&#10;AAATAAAAAAAAAAAAAAAAAAAAAABbQ29udGVudF9UeXBlc10ueG1sUEsBAi0AFAAGAAgAAAAhADj9&#10;If/WAAAAlAEAAAsAAAAAAAAAAAAAAAAALwEAAF9yZWxzLy5yZWxzUEsBAi0AFAAGAAgAAAAhAO0r&#10;RcPdAQAABAQAAA4AAAAAAAAAAAAAAAAALgIAAGRycy9lMm9Eb2MueG1sUEsBAi0AFAAGAAgAAAAh&#10;AJ3fETHaAAAABQEAAA8AAAAAAAAAAAAAAAAANwQAAGRycy9kb3ducmV2LnhtbFBLBQYAAAAABAAE&#10;APMAAAA+BQAAAAA=&#10;" strokecolor="#d1042f" strokeweight="1.5pt">
              <v:stroke joinstyle="miter"/>
            </v:line>
          </w:pict>
        </mc:Fallback>
      </mc:AlternateContent>
    </w:r>
  </w:p>
  <w:p w14:paraId="31F4B758" w14:textId="4CC9261C" w:rsidR="00F734E0" w:rsidRPr="00F734E0" w:rsidRDefault="00F734E0">
    <w:pPr>
      <w:pStyle w:val="Footer"/>
      <w:rPr>
        <w:rFonts w:ascii="Arial" w:hAnsi="Arial" w:cs="Arial"/>
        <w:b/>
        <w:bCs/>
        <w:sz w:val="16"/>
        <w:szCs w:val="16"/>
      </w:rPr>
    </w:pPr>
    <w:r w:rsidRPr="00F734E0">
      <w:rPr>
        <w:rFonts w:ascii="Arial" w:hAnsi="Arial" w:cs="Arial"/>
        <w:bCs/>
        <w:sz w:val="16"/>
        <w:szCs w:val="16"/>
        <w:lang w:val="en-US"/>
      </w:rPr>
      <w:t>Broadcom, the pulse logo, Connecting everything, and Symantec are among the trademarks of Broadcom. Copyright © 2021 Broadcom. All Rights Reserved. The term “Broadcom” refers to Broadcom Inc. and/or its subsidiaries. For more information, please visit www.broadcom.com.Broadcom reserves the right to make changes without further notice to any products or data herein to improve reliability, function, or design. Information furnished by Broadcom is believed to be accurate and reliable. However, Broadcom does not assume any liability arising out of the application or use of this information, nor the application or use of any product or circuit described herein, neither does it convey any license under its patent rights nor the rights of others</w:t>
    </w:r>
    <w:r w:rsidR="008C0917">
      <w:rPr>
        <w:rFonts w:ascii="Arial" w:hAnsi="Arial" w:cs="Arial"/>
        <w:bCs/>
        <w:sz w:val="16"/>
        <w:szCs w:val="16"/>
        <w:lang w:val="en-US"/>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106A7" w14:textId="77777777" w:rsidR="008C0917" w:rsidRDefault="008C0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B20ED2" w14:textId="77777777" w:rsidR="00107EB4" w:rsidRDefault="00107EB4" w:rsidP="00EF3D82">
      <w:pPr>
        <w:spacing w:after="0" w:line="240" w:lineRule="auto"/>
      </w:pPr>
      <w:r>
        <w:separator/>
      </w:r>
    </w:p>
  </w:footnote>
  <w:footnote w:type="continuationSeparator" w:id="0">
    <w:p w14:paraId="688ED643" w14:textId="77777777" w:rsidR="00107EB4" w:rsidRDefault="00107EB4" w:rsidP="00EF3D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EC02A" w14:textId="77777777" w:rsidR="008C0917" w:rsidRDefault="008C09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D2819" w14:textId="5F1E82FB" w:rsidR="00EF3D82" w:rsidRDefault="005512DB">
    <w:pPr>
      <w:pStyle w:val="Header"/>
    </w:pPr>
    <w:r>
      <w:rPr>
        <w:noProof/>
        <w:lang w:eastAsia="en-GB"/>
      </w:rPr>
      <mc:AlternateContent>
        <mc:Choice Requires="wpg">
          <w:drawing>
            <wp:anchor distT="0" distB="0" distL="114300" distR="114300" simplePos="0" relativeHeight="251661312" behindDoc="0" locked="0" layoutInCell="1" allowOverlap="1" wp14:anchorId="69898483" wp14:editId="5C8ED088">
              <wp:simplePos x="0" y="0"/>
              <wp:positionH relativeFrom="column">
                <wp:posOffset>-1938130</wp:posOffset>
              </wp:positionH>
              <wp:positionV relativeFrom="paragraph">
                <wp:posOffset>-499276</wp:posOffset>
              </wp:positionV>
              <wp:extent cx="8617226" cy="232747"/>
              <wp:effectExtent l="0" t="0" r="0" b="0"/>
              <wp:wrapNone/>
              <wp:docPr id="6" name="Group 6"/>
              <wp:cNvGraphicFramePr/>
              <a:graphic xmlns:a="http://schemas.openxmlformats.org/drawingml/2006/main">
                <a:graphicData uri="http://schemas.microsoft.com/office/word/2010/wordprocessingGroup">
                  <wpg:wgp>
                    <wpg:cNvGrpSpPr/>
                    <wpg:grpSpPr>
                      <a:xfrm>
                        <a:off x="0" y="0"/>
                        <a:ext cx="8617226" cy="232747"/>
                        <a:chOff x="99753" y="-581891"/>
                        <a:chExt cx="8617226" cy="232747"/>
                      </a:xfrm>
                    </wpg:grpSpPr>
                    <wps:wsp>
                      <wps:cNvPr id="1" name="Rectangle 1"/>
                      <wps:cNvSpPr/>
                      <wps:spPr>
                        <a:xfrm>
                          <a:off x="99753" y="-581891"/>
                          <a:ext cx="3738067" cy="232747"/>
                        </a:xfrm>
                        <a:prstGeom prst="rect">
                          <a:avLst/>
                        </a:prstGeom>
                        <a:solidFill>
                          <a:srgbClr val="D1042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Rectangle 2"/>
                      <wps:cNvSpPr/>
                      <wps:spPr>
                        <a:xfrm>
                          <a:off x="3837785" y="-581890"/>
                          <a:ext cx="4879194" cy="232399"/>
                        </a:xfrm>
                        <a:prstGeom prst="rect">
                          <a:avLst/>
                        </a:prstGeom>
                        <a:solidFill>
                          <a:srgbClr val="79242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F2F8CBC" id="Group 6" o:spid="_x0000_s1026" style="position:absolute;margin-left:-152.6pt;margin-top:-39.3pt;width:678.5pt;height:18.35pt;z-index:251661312;mso-width-relative:margin;mso-height-relative:margin" coordorigin="997,-5818" coordsize="86172,2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wmLPwMAAMgKAAAOAAAAZHJzL2Uyb0RvYy54bWzsVktP3DAQvlfqf7B8L9lkH9lEBISgoEqo&#10;IKDq2ThONpJju7aXLP31nXEeUKBVRaUeKjgE2/P+PPOt9w93rSR3wrpGq4LGezNKhOK6bFRd0C83&#10;px/WlDjPVMmkVqKg98LRw4P37/Y7k4tEb7QshSXgRLm8MwXdeG/yKHJ8I1rm9rQRCoSVti3zsLV1&#10;VFrWgfdWRslstoo6bUtjNRfOwelJL6QHwX9VCe4vqsoJT2RBITcfvjZ8b/EbHeyzvLbMbBo+pMFe&#10;kUXLGgVBJ1cnzDOytc0zV23DrXa68ntct5GuqoaLUANUE8+eVHNm9daEWuq8q80EE0D7BKdXu+Wf&#10;7y4tacqCrihRrIUrClHJCqHpTJ2Dxpk11+bSDgd1v8Nqd5Vt8T/UQXYB1PsJVLHzhMPhehWnSQLe&#10;OciSeZIu0h51voGrQbMsS5dzSkD8YbmO11k8yj/+3kU0JhBhnlNanYFWcg9oub9D63rDjAiX4BCL&#10;Aa14ROsKWoypWgoS0sbgoDXB5XIHyL2A1S+KHlGbp/P1bJU+RW0qmeXGOn8mdEtwUVALeYQOZHfn&#10;zsNVgeqoguGdlk152kgZNra+PZaW3DEYi5N4tkhOEXMw+UlNKlRWGs16MZ4A2mNVYeXvpUA9qa5E&#10;Ba0EN5qETMIQiykO41woH/eiDStFH345g78xOo49WoRcgkP0XEH8yffgYNTsnYy++ywHfTQVgQMm&#10;49nvEuuNJ4sQWSs/GbeN0vYlBxKqGiL3+iNIPTSI0q0u76F1rO4ZyBl+2sC9nTPnL5kFygFyAhr1&#10;F/CppO4KqocVJRttv790jvrQ2yClpAMKK6j7tmVWUCI/Kej6LF4skPPCZrFME9jYx5LbxxK1bY81&#10;tAN0NmQXlqjv5bisrG6/AtseYVQQMcUhdkG5t+Pm2PfUCnzNxdFRUAOeM8yfq2vD0Tmiin15s/vK&#10;rBma10Pbf9bjpLH8SQ/3umip9NHW66oJDf6A64A3TD1y1j8Y/+T5+CfYAhj8j8Z/vp6n6Xr5iPWG&#10;36KRABbrNIuzxUQA8ywbemwk3XG6/5oA0ix5IwBkpjcC+B8IILwG4LkUfkOGpx2+xx7vA2E8PEAP&#10;fgAAAP//AwBQSwMEFAAGAAgAAAAhAAA1KyfjAAAADQEAAA8AAABkcnMvZG93bnJldi54bWxMj8Fu&#10;wjAQRO+V+g/WVuoNbENDaRoHIdT2hJAKlareTLwkEbEdxSYJf9/l1N52d0azb7LVaBvWYxdq7xTI&#10;qQCGrvCmdqWCr8P7ZAksRO2MbrxDBVcMsMrv7zKdGj+4T+z3sWQU4kKqFVQxtinnoajQ6jD1LTrS&#10;Tr6zOtLaldx0eqBw2/CZEAtude3oQ6Vb3FRYnPcXq+Bj0MN6Lt/67fm0uf4ckt33VqJSjw/j+hVY&#10;xDH+meGGT+iQE9PRX5wJrFEwmYtkRl6anpcLYDeLSCTVOdLpSb4AzzP+v0X+CwAA//8DAFBLAQIt&#10;ABQABgAIAAAAIQC2gziS/gAAAOEBAAATAAAAAAAAAAAAAAAAAAAAAABbQ29udGVudF9UeXBlc10u&#10;eG1sUEsBAi0AFAAGAAgAAAAhADj9If/WAAAAlAEAAAsAAAAAAAAAAAAAAAAALwEAAF9yZWxzLy5y&#10;ZWxzUEsBAi0AFAAGAAgAAAAhAJIXCYs/AwAAyAoAAA4AAAAAAAAAAAAAAAAALgIAAGRycy9lMm9E&#10;b2MueG1sUEsBAi0AFAAGAAgAAAAhAAA1KyfjAAAADQEAAA8AAAAAAAAAAAAAAAAAmQUAAGRycy9k&#10;b3ducmV2LnhtbFBLBQYAAAAABAAEAPMAAACpBgAAAAA=&#10;">
              <v:rect id="Rectangle 1" o:spid="_x0000_s1027" style="position:absolute;left:997;top:-5818;width:37381;height:23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kCxvwAAANoAAAAPAAAAZHJzL2Rvd25yZXYueG1sRE9Li8Iw&#10;EL4L+x/CCF5EU1cpSzXKIiysRx+UPY7NmBabSWmytv57Iwieho/vOatNb2txo9ZXjhXMpgkI4sLp&#10;io2C0/Fn8gXCB2SNtWNScCcPm/XHYIWZdh3v6XYIRsQQ9hkqKENoMil9UZJFP3UNceQurrUYImyN&#10;1C12MdzW8jNJUmmx4thQYkPbkorr4d8qWPzle+qMnqeYjhfnnbnX+bFSajTsv5cgAvXhLX65f3Wc&#10;D89XnleuHwAAAP//AwBQSwECLQAUAAYACAAAACEA2+H2y+4AAACFAQAAEwAAAAAAAAAAAAAAAAAA&#10;AAAAW0NvbnRlbnRfVHlwZXNdLnhtbFBLAQItABQABgAIAAAAIQBa9CxbvwAAABUBAAALAAAAAAAA&#10;AAAAAAAAAB8BAABfcmVscy8ucmVsc1BLAQItABQABgAIAAAAIQDwPkCxvwAAANoAAAAPAAAAAAAA&#10;AAAAAAAAAAcCAABkcnMvZG93bnJldi54bWxQSwUGAAAAAAMAAwC3AAAA8wIAAAAA&#10;" fillcolor="#d1042f" stroked="f" strokeweight="1pt"/>
              <v:rect id="Rectangle 2" o:spid="_x0000_s1028" style="position:absolute;left:38377;top:-5818;width:48792;height:23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6k49wgAAANoAAAAPAAAAZHJzL2Rvd25yZXYueG1sRI/BasMw&#10;EETvhfyD2EIupZbjQilulGAChZBLiOsPWKytJWKtXEt17L+PCoUeh5l5w2z3s+vFRGOwnhVsshwE&#10;ceu15U5B8/nx/AYiRGSNvWdSsFCA/W71sMVS+xtfaKpjJxKEQ4kKTIxDKWVoDTkMmR+Ik/flR4cx&#10;ybGTesRbgrteFnn+Kh1aTgsGBzoYaq/1j1Mwh5Nd+pfvp+piru25KRbtba3U+nGu3kFEmuN/+K99&#10;1AoK+L2SboDc3QEAAP//AwBQSwECLQAUAAYACAAAACEA2+H2y+4AAACFAQAAEwAAAAAAAAAAAAAA&#10;AAAAAAAAW0NvbnRlbnRfVHlwZXNdLnhtbFBLAQItABQABgAIAAAAIQBa9CxbvwAAABUBAAALAAAA&#10;AAAAAAAAAAAAAB8BAABfcmVscy8ucmVsc1BLAQItABQABgAIAAAAIQAn6k49wgAAANoAAAAPAAAA&#10;AAAAAAAAAAAAAAcCAABkcnMvZG93bnJldi54bWxQSwUGAAAAAAMAAwC3AAAA9gIAAAAA&#10;" fillcolor="#79242f" stroked="f" strokeweight="1pt"/>
            </v:group>
          </w:pict>
        </mc:Fallback>
      </mc:AlternateContent>
    </w:r>
    <w:r>
      <w:rPr>
        <w:noProof/>
        <w:lang w:eastAsia="en-GB"/>
      </w:rPr>
      <w:drawing>
        <wp:anchor distT="0" distB="0" distL="114300" distR="114300" simplePos="0" relativeHeight="251663360" behindDoc="0" locked="0" layoutInCell="1" allowOverlap="1" wp14:anchorId="29415912" wp14:editId="0A24A456">
          <wp:simplePos x="0" y="0"/>
          <wp:positionH relativeFrom="column">
            <wp:posOffset>0</wp:posOffset>
          </wp:positionH>
          <wp:positionV relativeFrom="paragraph">
            <wp:posOffset>-635</wp:posOffset>
          </wp:positionV>
          <wp:extent cx="1835150" cy="248285"/>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5150" cy="248285"/>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AC932" w14:textId="77777777" w:rsidR="008C0917" w:rsidRDefault="008C09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D28E6"/>
    <w:multiLevelType w:val="hybridMultilevel"/>
    <w:tmpl w:val="10B42F6E"/>
    <w:lvl w:ilvl="0" w:tplc="0EE6D046">
      <w:start w:val="1"/>
      <w:numFmt w:val="bullet"/>
      <w:lvlText w:val=""/>
      <w:lvlJc w:val="left"/>
      <w:pPr>
        <w:ind w:left="1080" w:hanging="720"/>
      </w:pPr>
      <w:rPr>
        <w:rFonts w:ascii="Wingdings" w:hAnsi="Wingdings" w:hint="default"/>
        <w:color w:val="D1042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DC94CFD"/>
    <w:multiLevelType w:val="hybridMultilevel"/>
    <w:tmpl w:val="ABB006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FF8136E"/>
    <w:multiLevelType w:val="multilevel"/>
    <w:tmpl w:val="1B32A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B66DD6"/>
    <w:multiLevelType w:val="hybridMultilevel"/>
    <w:tmpl w:val="022EDE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3656583"/>
    <w:multiLevelType w:val="hybridMultilevel"/>
    <w:tmpl w:val="21C25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0EE05AA"/>
    <w:multiLevelType w:val="hybridMultilevel"/>
    <w:tmpl w:val="DCDC70C2"/>
    <w:lvl w:ilvl="0" w:tplc="056C595C">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9716A82"/>
    <w:multiLevelType w:val="hybridMultilevel"/>
    <w:tmpl w:val="9DFA1B74"/>
    <w:lvl w:ilvl="0" w:tplc="056C595C">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D367DD6"/>
    <w:multiLevelType w:val="hybridMultilevel"/>
    <w:tmpl w:val="B93849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6"/>
  </w:num>
  <w:num w:numId="4">
    <w:abstractNumId w:val="5"/>
  </w:num>
  <w:num w:numId="5">
    <w:abstractNumId w:val="0"/>
  </w:num>
  <w:num w:numId="6">
    <w:abstractNumId w:val="3"/>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9C2"/>
    <w:rsid w:val="00036A5F"/>
    <w:rsid w:val="00073006"/>
    <w:rsid w:val="000843E9"/>
    <w:rsid w:val="00094FCE"/>
    <w:rsid w:val="000A0459"/>
    <w:rsid w:val="000C551C"/>
    <w:rsid w:val="000D1824"/>
    <w:rsid w:val="000E1DDB"/>
    <w:rsid w:val="000F2F5E"/>
    <w:rsid w:val="00107EB4"/>
    <w:rsid w:val="00112B93"/>
    <w:rsid w:val="00116519"/>
    <w:rsid w:val="00125981"/>
    <w:rsid w:val="001411EC"/>
    <w:rsid w:val="00153100"/>
    <w:rsid w:val="00185C07"/>
    <w:rsid w:val="001C0E2A"/>
    <w:rsid w:val="002116B0"/>
    <w:rsid w:val="002219A7"/>
    <w:rsid w:val="00235312"/>
    <w:rsid w:val="00267E79"/>
    <w:rsid w:val="00283D97"/>
    <w:rsid w:val="0029197F"/>
    <w:rsid w:val="00294391"/>
    <w:rsid w:val="002E1328"/>
    <w:rsid w:val="002F71EA"/>
    <w:rsid w:val="002F7CCF"/>
    <w:rsid w:val="0030788D"/>
    <w:rsid w:val="00310484"/>
    <w:rsid w:val="0033511B"/>
    <w:rsid w:val="00351FB8"/>
    <w:rsid w:val="00370E4E"/>
    <w:rsid w:val="00372252"/>
    <w:rsid w:val="00376C31"/>
    <w:rsid w:val="00382A5E"/>
    <w:rsid w:val="00391373"/>
    <w:rsid w:val="004178E7"/>
    <w:rsid w:val="004365A3"/>
    <w:rsid w:val="00472035"/>
    <w:rsid w:val="0049340C"/>
    <w:rsid w:val="00494B5E"/>
    <w:rsid w:val="004B4B23"/>
    <w:rsid w:val="004C7019"/>
    <w:rsid w:val="00513EEF"/>
    <w:rsid w:val="00515C84"/>
    <w:rsid w:val="00516A2E"/>
    <w:rsid w:val="0051779A"/>
    <w:rsid w:val="00522F5C"/>
    <w:rsid w:val="00532AEE"/>
    <w:rsid w:val="005427CD"/>
    <w:rsid w:val="005512DB"/>
    <w:rsid w:val="00551F1C"/>
    <w:rsid w:val="00561B51"/>
    <w:rsid w:val="005806D7"/>
    <w:rsid w:val="005A5F33"/>
    <w:rsid w:val="005A608A"/>
    <w:rsid w:val="005B3F25"/>
    <w:rsid w:val="005C6E8A"/>
    <w:rsid w:val="005C741D"/>
    <w:rsid w:val="005D372C"/>
    <w:rsid w:val="005D6067"/>
    <w:rsid w:val="005E5D81"/>
    <w:rsid w:val="005F19C2"/>
    <w:rsid w:val="00601F61"/>
    <w:rsid w:val="00607C32"/>
    <w:rsid w:val="00607C4D"/>
    <w:rsid w:val="00666839"/>
    <w:rsid w:val="00674CDC"/>
    <w:rsid w:val="006B6823"/>
    <w:rsid w:val="00704100"/>
    <w:rsid w:val="00751029"/>
    <w:rsid w:val="00764FEE"/>
    <w:rsid w:val="007757FD"/>
    <w:rsid w:val="00783FD2"/>
    <w:rsid w:val="007871FE"/>
    <w:rsid w:val="00793906"/>
    <w:rsid w:val="0079595C"/>
    <w:rsid w:val="007E3408"/>
    <w:rsid w:val="007E6C25"/>
    <w:rsid w:val="00805211"/>
    <w:rsid w:val="008056E6"/>
    <w:rsid w:val="008064CE"/>
    <w:rsid w:val="00831E8E"/>
    <w:rsid w:val="00841125"/>
    <w:rsid w:val="0088270C"/>
    <w:rsid w:val="008B3D99"/>
    <w:rsid w:val="008B6E98"/>
    <w:rsid w:val="008C0917"/>
    <w:rsid w:val="008E57B7"/>
    <w:rsid w:val="009072EB"/>
    <w:rsid w:val="00946CA0"/>
    <w:rsid w:val="00964D5D"/>
    <w:rsid w:val="00966220"/>
    <w:rsid w:val="00984093"/>
    <w:rsid w:val="00984F23"/>
    <w:rsid w:val="00990992"/>
    <w:rsid w:val="00990B87"/>
    <w:rsid w:val="00A07111"/>
    <w:rsid w:val="00A07473"/>
    <w:rsid w:val="00AF2940"/>
    <w:rsid w:val="00AF52ED"/>
    <w:rsid w:val="00B06DED"/>
    <w:rsid w:val="00B21C0B"/>
    <w:rsid w:val="00B57F4C"/>
    <w:rsid w:val="00B94102"/>
    <w:rsid w:val="00B948A1"/>
    <w:rsid w:val="00BA3B9A"/>
    <w:rsid w:val="00BA6AD7"/>
    <w:rsid w:val="00BE0AE3"/>
    <w:rsid w:val="00C27B8A"/>
    <w:rsid w:val="00C40736"/>
    <w:rsid w:val="00C53BE8"/>
    <w:rsid w:val="00C61E64"/>
    <w:rsid w:val="00C64085"/>
    <w:rsid w:val="00C711B7"/>
    <w:rsid w:val="00C830F7"/>
    <w:rsid w:val="00CA23DF"/>
    <w:rsid w:val="00CA79EE"/>
    <w:rsid w:val="00CD41B3"/>
    <w:rsid w:val="00D8141E"/>
    <w:rsid w:val="00D851FF"/>
    <w:rsid w:val="00DA589A"/>
    <w:rsid w:val="00DB4AB0"/>
    <w:rsid w:val="00DC7ED3"/>
    <w:rsid w:val="00DF1C96"/>
    <w:rsid w:val="00DF3F5D"/>
    <w:rsid w:val="00E0215B"/>
    <w:rsid w:val="00E46AA1"/>
    <w:rsid w:val="00E472D8"/>
    <w:rsid w:val="00E50587"/>
    <w:rsid w:val="00E92A09"/>
    <w:rsid w:val="00EA03BD"/>
    <w:rsid w:val="00EB0436"/>
    <w:rsid w:val="00EB694D"/>
    <w:rsid w:val="00EF3D82"/>
    <w:rsid w:val="00F0017C"/>
    <w:rsid w:val="00F05D9C"/>
    <w:rsid w:val="00F1055D"/>
    <w:rsid w:val="00F10C1D"/>
    <w:rsid w:val="00F20AD2"/>
    <w:rsid w:val="00F20CB7"/>
    <w:rsid w:val="00F6127B"/>
    <w:rsid w:val="00F734E0"/>
    <w:rsid w:val="00FB656D"/>
    <w:rsid w:val="00FD45EF"/>
    <w:rsid w:val="00FF08E1"/>
    <w:rsid w:val="00FF33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146FBA"/>
  <w15:chartTrackingRefBased/>
  <w15:docId w15:val="{12E4FE59-76E8-4CDF-A103-20F3384A9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DF3F5D"/>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D8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3D82"/>
  </w:style>
  <w:style w:type="paragraph" w:styleId="Footer">
    <w:name w:val="footer"/>
    <w:basedOn w:val="Normal"/>
    <w:link w:val="FooterChar"/>
    <w:uiPriority w:val="99"/>
    <w:unhideWhenUsed/>
    <w:rsid w:val="00EF3D8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F3D82"/>
  </w:style>
  <w:style w:type="character" w:styleId="PlaceholderText">
    <w:name w:val="Placeholder Text"/>
    <w:basedOn w:val="DefaultParagraphFont"/>
    <w:uiPriority w:val="99"/>
    <w:semiHidden/>
    <w:rsid w:val="000A0459"/>
    <w:rPr>
      <w:color w:val="808080"/>
    </w:rPr>
  </w:style>
  <w:style w:type="paragraph" w:styleId="ListParagraph">
    <w:name w:val="List Paragraph"/>
    <w:basedOn w:val="Normal"/>
    <w:uiPriority w:val="34"/>
    <w:qFormat/>
    <w:rsid w:val="005C741D"/>
    <w:pPr>
      <w:ind w:left="720"/>
      <w:contextualSpacing/>
    </w:pPr>
  </w:style>
  <w:style w:type="table" w:styleId="TableGrid">
    <w:name w:val="Table Grid"/>
    <w:basedOn w:val="TableNormal"/>
    <w:uiPriority w:val="39"/>
    <w:rsid w:val="005C74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qFormat/>
    <w:rsid w:val="005C741D"/>
    <w:rPr>
      <w:rFonts w:ascii="Arial" w:hAnsi="Arial"/>
      <w:color w:val="0066FF"/>
      <w:u w:val="none"/>
    </w:rPr>
  </w:style>
  <w:style w:type="character" w:styleId="FollowedHyperlink">
    <w:name w:val="FollowedHyperlink"/>
    <w:basedOn w:val="DefaultParagraphFont"/>
    <w:uiPriority w:val="99"/>
    <w:semiHidden/>
    <w:unhideWhenUsed/>
    <w:rsid w:val="005C741D"/>
    <w:rPr>
      <w:color w:val="954F72" w:themeColor="followedHyperlink"/>
      <w:u w:val="single"/>
    </w:rPr>
  </w:style>
  <w:style w:type="paragraph" w:styleId="NormalWeb">
    <w:name w:val="Normal (Web)"/>
    <w:basedOn w:val="Normal"/>
    <w:uiPriority w:val="99"/>
    <w:semiHidden/>
    <w:unhideWhenUsed/>
    <w:rsid w:val="002116B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3Char">
    <w:name w:val="Heading 3 Char"/>
    <w:basedOn w:val="DefaultParagraphFont"/>
    <w:link w:val="Heading3"/>
    <w:uiPriority w:val="9"/>
    <w:rsid w:val="00DF3F5D"/>
    <w:rPr>
      <w:rFonts w:ascii="Times New Roman" w:eastAsia="Times New Roman" w:hAnsi="Times New Roman" w:cs="Times New Roman"/>
      <w:b/>
      <w:bCs/>
      <w:sz w:val="27"/>
      <w:szCs w:val="27"/>
      <w:lang w:eastAsia="en-GB"/>
    </w:rPr>
  </w:style>
  <w:style w:type="paragraph" w:customStyle="1" w:styleId="cdt4ke">
    <w:name w:val="cdt4ke"/>
    <w:basedOn w:val="Normal"/>
    <w:rsid w:val="00CA79EE"/>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601868">
      <w:bodyDiv w:val="1"/>
      <w:marLeft w:val="0"/>
      <w:marRight w:val="0"/>
      <w:marTop w:val="0"/>
      <w:marBottom w:val="0"/>
      <w:divBdr>
        <w:top w:val="none" w:sz="0" w:space="0" w:color="auto"/>
        <w:left w:val="none" w:sz="0" w:space="0" w:color="auto"/>
        <w:bottom w:val="none" w:sz="0" w:space="0" w:color="auto"/>
        <w:right w:val="none" w:sz="0" w:space="0" w:color="auto"/>
      </w:divBdr>
    </w:div>
    <w:div w:id="548541234">
      <w:bodyDiv w:val="1"/>
      <w:marLeft w:val="0"/>
      <w:marRight w:val="0"/>
      <w:marTop w:val="0"/>
      <w:marBottom w:val="0"/>
      <w:divBdr>
        <w:top w:val="none" w:sz="0" w:space="0" w:color="auto"/>
        <w:left w:val="none" w:sz="0" w:space="0" w:color="auto"/>
        <w:bottom w:val="none" w:sz="0" w:space="0" w:color="auto"/>
        <w:right w:val="none" w:sz="0" w:space="0" w:color="auto"/>
      </w:divBdr>
    </w:div>
    <w:div w:id="793406559">
      <w:bodyDiv w:val="1"/>
      <w:marLeft w:val="0"/>
      <w:marRight w:val="0"/>
      <w:marTop w:val="0"/>
      <w:marBottom w:val="0"/>
      <w:divBdr>
        <w:top w:val="none" w:sz="0" w:space="0" w:color="auto"/>
        <w:left w:val="none" w:sz="0" w:space="0" w:color="auto"/>
        <w:bottom w:val="none" w:sz="0" w:space="0" w:color="auto"/>
        <w:right w:val="none" w:sz="0" w:space="0" w:color="auto"/>
      </w:divBdr>
    </w:div>
    <w:div w:id="878512752">
      <w:bodyDiv w:val="1"/>
      <w:marLeft w:val="0"/>
      <w:marRight w:val="0"/>
      <w:marTop w:val="0"/>
      <w:marBottom w:val="0"/>
      <w:divBdr>
        <w:top w:val="none" w:sz="0" w:space="0" w:color="auto"/>
        <w:left w:val="none" w:sz="0" w:space="0" w:color="auto"/>
        <w:bottom w:val="none" w:sz="0" w:space="0" w:color="auto"/>
        <w:right w:val="none" w:sz="0" w:space="0" w:color="auto"/>
      </w:divBdr>
    </w:div>
    <w:div w:id="1364752066">
      <w:bodyDiv w:val="1"/>
      <w:marLeft w:val="0"/>
      <w:marRight w:val="0"/>
      <w:marTop w:val="0"/>
      <w:marBottom w:val="0"/>
      <w:divBdr>
        <w:top w:val="none" w:sz="0" w:space="0" w:color="auto"/>
        <w:left w:val="none" w:sz="0" w:space="0" w:color="auto"/>
        <w:bottom w:val="none" w:sz="0" w:space="0" w:color="auto"/>
        <w:right w:val="none" w:sz="0" w:space="0" w:color="auto"/>
      </w:divBdr>
    </w:div>
    <w:div w:id="1478108732">
      <w:bodyDiv w:val="1"/>
      <w:marLeft w:val="0"/>
      <w:marRight w:val="0"/>
      <w:marTop w:val="0"/>
      <w:marBottom w:val="0"/>
      <w:divBdr>
        <w:top w:val="none" w:sz="0" w:space="0" w:color="auto"/>
        <w:left w:val="none" w:sz="0" w:space="0" w:color="auto"/>
        <w:bottom w:val="none" w:sz="0" w:space="0" w:color="auto"/>
        <w:right w:val="none" w:sz="0" w:space="0" w:color="auto"/>
      </w:divBdr>
    </w:div>
    <w:div w:id="1481652654">
      <w:bodyDiv w:val="1"/>
      <w:marLeft w:val="0"/>
      <w:marRight w:val="0"/>
      <w:marTop w:val="0"/>
      <w:marBottom w:val="0"/>
      <w:divBdr>
        <w:top w:val="none" w:sz="0" w:space="0" w:color="auto"/>
        <w:left w:val="none" w:sz="0" w:space="0" w:color="auto"/>
        <w:bottom w:val="none" w:sz="0" w:space="0" w:color="auto"/>
        <w:right w:val="none" w:sz="0" w:space="0" w:color="auto"/>
      </w:divBdr>
    </w:div>
    <w:div w:id="1582135450">
      <w:bodyDiv w:val="1"/>
      <w:marLeft w:val="0"/>
      <w:marRight w:val="0"/>
      <w:marTop w:val="0"/>
      <w:marBottom w:val="0"/>
      <w:divBdr>
        <w:top w:val="none" w:sz="0" w:space="0" w:color="auto"/>
        <w:left w:val="none" w:sz="0" w:space="0" w:color="auto"/>
        <w:bottom w:val="none" w:sz="0" w:space="0" w:color="auto"/>
        <w:right w:val="none" w:sz="0" w:space="0" w:color="auto"/>
      </w:divBdr>
    </w:div>
    <w:div w:id="1604875524">
      <w:bodyDiv w:val="1"/>
      <w:marLeft w:val="0"/>
      <w:marRight w:val="0"/>
      <w:marTop w:val="0"/>
      <w:marBottom w:val="0"/>
      <w:divBdr>
        <w:top w:val="none" w:sz="0" w:space="0" w:color="auto"/>
        <w:left w:val="none" w:sz="0" w:space="0" w:color="auto"/>
        <w:bottom w:val="none" w:sz="0" w:space="0" w:color="auto"/>
        <w:right w:val="none" w:sz="0" w:space="0" w:color="auto"/>
      </w:divBdr>
    </w:div>
    <w:div w:id="1782336274">
      <w:bodyDiv w:val="1"/>
      <w:marLeft w:val="0"/>
      <w:marRight w:val="0"/>
      <w:marTop w:val="0"/>
      <w:marBottom w:val="0"/>
      <w:divBdr>
        <w:top w:val="none" w:sz="0" w:space="0" w:color="auto"/>
        <w:left w:val="none" w:sz="0" w:space="0" w:color="auto"/>
        <w:bottom w:val="none" w:sz="0" w:space="0" w:color="auto"/>
        <w:right w:val="none" w:sz="0" w:space="0" w:color="auto"/>
      </w:divBdr>
    </w:div>
    <w:div w:id="2106027228">
      <w:bodyDiv w:val="1"/>
      <w:marLeft w:val="0"/>
      <w:marRight w:val="0"/>
      <w:marTop w:val="0"/>
      <w:marBottom w:val="0"/>
      <w:divBdr>
        <w:top w:val="none" w:sz="0" w:space="0" w:color="auto"/>
        <w:left w:val="none" w:sz="0" w:space="0" w:color="auto"/>
        <w:bottom w:val="none" w:sz="0" w:space="0" w:color="auto"/>
        <w:right w:val="none" w:sz="0" w:space="0" w:color="auto"/>
      </w:divBdr>
    </w:div>
    <w:div w:id="2112774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fYNFE0fsKhM" TargetMode="External"/><Relationship Id="rId13" Type="http://schemas.openxmlformats.org/officeDocument/2006/relationships/hyperlink" Target="https://symantec.broadcom.com/hubfs/SED/SED%20EMEA/Blind%20Spots%20Campaign/social-assets-blindspots.zip" TargetMode="External"/><Relationship Id="rId18" Type="http://schemas.openxmlformats.org/officeDocument/2006/relationships/hyperlink" Target="https://symantec.broadcom.com/blind-spots-resources" TargetMode="External"/><Relationship Id="rId26" Type="http://schemas.openxmlformats.org/officeDocument/2006/relationships/hyperlink" Target="https://docs.broadcom.com/doc/sep-threat-defense-ad-en" TargetMode="External"/><Relationship Id="rId39" Type="http://schemas.openxmlformats.org/officeDocument/2006/relationships/hyperlink" Target="https://symantec-enterprise-blogs.security.com/blogs/product-insights/how-you-can-make-your-threat-intelligence-intelligent" TargetMode="External"/><Relationship Id="rId3" Type="http://schemas.openxmlformats.org/officeDocument/2006/relationships/settings" Target="settings.xml"/><Relationship Id="rId21" Type="http://schemas.openxmlformats.org/officeDocument/2006/relationships/hyperlink" Target="https://symantec.broadcom.com/hubfs/SED/SED%20EMEA/Blind%20Spots%20Campaign/blind-spot-email-nurture.docx" TargetMode="External"/><Relationship Id="rId34" Type="http://schemas.openxmlformats.org/officeDocument/2006/relationships/hyperlink" Target="https://docs.broadcom.com/doc/endpoint-security-en" TargetMode="External"/><Relationship Id="rId42" Type="http://schemas.openxmlformats.org/officeDocument/2006/relationships/footer" Target="footer1.xml"/><Relationship Id="rId47"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symantec.broadcom.com/hubfs/SED/SED%20EMEA/Blind%20Spots%20Campaign/symantec-blind-spots-digital-assets.zip" TargetMode="External"/><Relationship Id="rId17" Type="http://schemas.openxmlformats.org/officeDocument/2006/relationships/hyperlink" Target="https://youtu.be/yfq2Mul-mQg" TargetMode="External"/><Relationship Id="rId25" Type="http://schemas.openxmlformats.org/officeDocument/2006/relationships/hyperlink" Target="https://s2.content.video.llnw.net/smedia/582dd700945f4a7aa6a7bb6f0d70aead/Au/mb41cefPHOf-qUnlsyPxQyDVPNgsrydHy8Z_ewo1Y/tdad-final.mp4" TargetMode="External"/><Relationship Id="rId33" Type="http://schemas.openxmlformats.org/officeDocument/2006/relationships/hyperlink" Target="https://docs.broadcom.com/doc/Why_Upgrade_SESC" TargetMode="External"/><Relationship Id="rId38" Type="http://schemas.openxmlformats.org/officeDocument/2006/relationships/hyperlink" Target="https://symantec-enterprise-blogs.security.com/blogs/expert-perspectives/symantec-leading-way-reinventing-enterprise-security"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symantec.broadcom.com/hubfs/SED/SED%20EMEA/Blind%20Spots%20Campaign/blind-spot-campaign-key-messages.pdf" TargetMode="External"/><Relationship Id="rId20" Type="http://schemas.openxmlformats.org/officeDocument/2006/relationships/hyperlink" Target="https://www.youtube.com/watch?v=aetFba_YUlU" TargetMode="External"/><Relationship Id="rId29" Type="http://schemas.openxmlformats.org/officeDocument/2006/relationships/hyperlink" Target="https://youtu.be/2vs-mc2Wnwk" TargetMode="External"/><Relationship Id="rId41"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ymantec.broadcom.com/hubfs/SED/SED%20EMEA/Blind%20Spots%20Campaign/blind-spot-email-nurture.docx" TargetMode="External"/><Relationship Id="rId24" Type="http://schemas.openxmlformats.org/officeDocument/2006/relationships/hyperlink" Target="https://docs.broadcom.com/doc/SED-Threat-Hunter-WP100" TargetMode="External"/><Relationship Id="rId32" Type="http://schemas.openxmlformats.org/officeDocument/2006/relationships/hyperlink" Target="https://symantec.broadcom.com/hubfs/SED/SED%20EMEA/Blind%20Spots%20Campaign/Read%20Me%20-%20Breach%20Assessment.txt" TargetMode="External"/><Relationship Id="rId37" Type="http://schemas.openxmlformats.org/officeDocument/2006/relationships/hyperlink" Target="https://symantec-enterprise-blogs.security.com/blogs/expert-perspectives/symantec-leading-way-reinventing-enterprise-security" TargetMode="External"/><Relationship Id="rId40" Type="http://schemas.openxmlformats.org/officeDocument/2006/relationships/header" Target="header1.xml"/><Relationship Id="rId45"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partnerportal.broadcom.com/en/symantec-partner-portal/symantec-sales-plays.html" TargetMode="External"/><Relationship Id="rId23" Type="http://schemas.openxmlformats.org/officeDocument/2006/relationships/hyperlink" Target="https://www.brighttalk.com/webcast/13361/466914" TargetMode="External"/><Relationship Id="rId28" Type="http://schemas.openxmlformats.org/officeDocument/2006/relationships/hyperlink" Target="https://symantec.broadcom.com/hubfs/SED/SED%20EMEA/Blind%20Spots%20Campaign/symantec-breach-assessment-guide.pdf" TargetMode="External"/><Relationship Id="rId36" Type="http://schemas.openxmlformats.org/officeDocument/2006/relationships/hyperlink" Target="https://symantec.broadcom.com/hubfs/SED/SED%20EMEA/Partner%20Newsletter/February%202021/symantec-endpoint-security-discovery-guide.pdf" TargetMode="External"/><Relationship Id="rId10" Type="http://schemas.openxmlformats.org/officeDocument/2006/relationships/hyperlink" Target="https://docs.broadcom.com/doc/SED-Threat-Hunter-WP100" TargetMode="External"/><Relationship Id="rId19" Type="http://schemas.openxmlformats.org/officeDocument/2006/relationships/hyperlink" Target="https://www.youtube.com/watch?v=VNLTXwNmkaU" TargetMode="External"/><Relationship Id="rId31" Type="http://schemas.openxmlformats.org/officeDocument/2006/relationships/hyperlink" Target="https://symantec.broadcom.com/hubfs/SED/SED%20EMEA/Blind%20Spots%20Campaign/symantec-breach-assessment-customer-invitation.docx" TargetMode="External"/><Relationship Id="rId44"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s2.content.video.llnw.net/smedia/582dd700945f4a7aa6a7bb6f0d70aead/Au/mb41cefPHOf-qUnlsyPxQyDVPNgsrydHy8Z_ewo1Y/tdad-final.mp4" TargetMode="External"/><Relationship Id="rId14" Type="http://schemas.openxmlformats.org/officeDocument/2006/relationships/hyperlink" Target="https://symantec.broadcom.com/hubfs/SED/SED%20EMEA/Blind%20Spots%20Campaign/blind-spots-call-script.docx" TargetMode="External"/><Relationship Id="rId22" Type="http://schemas.openxmlformats.org/officeDocument/2006/relationships/hyperlink" Target="https://www.youtube.com/watch?v=fYNFE0fsKhM" TargetMode="External"/><Relationship Id="rId27" Type="http://schemas.openxmlformats.org/officeDocument/2006/relationships/hyperlink" Target="https://ftpdocs.broadcom.com/PartnerContent/8/Infrastructure%20SW%20Home/Partner%20Sales/Partner%20Portal-AEM/Symantec%20Partner%20Portal/Symantec%20Campaigns/Campaigns%20-%20SESC%20-%20Blind%20Spots%20-%20Tool%20Kit/Breach%20Assessment.zip" TargetMode="External"/><Relationship Id="rId30" Type="http://schemas.openxmlformats.org/officeDocument/2006/relationships/hyperlink" Target="https://symantec.broadcom.com/hubfs/SED/SED%20EMEA/Blind%20Spots%20Campaign/Breach%20Assessment%20Report.html" TargetMode="External"/><Relationship Id="rId35" Type="http://schemas.openxmlformats.org/officeDocument/2006/relationships/hyperlink" Target="https://symantec.broadcom.com/hubfs/SED/SED%20EMEA/Partner%20Newsletter/February%202021/symantec-endpoint-security%20comparison%20chart.pdf" TargetMode="External"/><Relationship Id="rId43"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6</Pages>
  <Words>2050</Words>
  <Characters>11685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Family Murrell</dc:creator>
  <cp:keywords/>
  <dc:description/>
  <cp:lastModifiedBy>Marianne Kantor</cp:lastModifiedBy>
  <cp:revision>16</cp:revision>
  <cp:lastPrinted>2021-02-08T16:03:00Z</cp:lastPrinted>
  <dcterms:created xsi:type="dcterms:W3CDTF">2021-03-17T08:49:00Z</dcterms:created>
  <dcterms:modified xsi:type="dcterms:W3CDTF">2021-04-12T09:28:00Z</dcterms:modified>
</cp:coreProperties>
</file>